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16AFDA" w14:textId="77777777" w:rsidR="003C7F32" w:rsidRDefault="003C7F32" w:rsidP="003C7F32">
      <w:pPr>
        <w:ind w:left="8647" w:hanging="850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  <w:r w:rsidRPr="00D7411B">
        <w:rPr>
          <w:rFonts w:ascii="Times New Roman" w:hAnsi="Times New Roman" w:cs="Times New Roman"/>
          <w:b/>
          <w:sz w:val="24"/>
          <w:szCs w:val="24"/>
        </w:rPr>
        <w:t>Утвърдил:</w:t>
      </w:r>
    </w:p>
    <w:p w14:paraId="10651DA8" w14:textId="68C4085B" w:rsidR="003C7F32" w:rsidRDefault="00755EED" w:rsidP="003C7F32">
      <w:pPr>
        <w:ind w:left="8647" w:hanging="850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pict w14:anchorId="0B66F6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6" o:title=""/>
            <o:lock v:ext="edit" ungrouping="t" rotation="t" cropping="t" verticies="t" text="t" grouping="t"/>
            <o:signatureline v:ext="edit" id="{E4C83CF6-B189-4627-B93E-DAED4A762D60}" provid="{00000000-0000-0000-0000-000000000000}" o:suggestedsigner="д-р Лозана Василева" o:suggestedsigner2="Заместник-министър" issignatureline="t"/>
          </v:shape>
        </w:pict>
      </w:r>
    </w:p>
    <w:p w14:paraId="43818903" w14:textId="5154D38F" w:rsidR="00280ADE" w:rsidRDefault="00280ADE" w:rsidP="00280ADE">
      <w:pPr>
        <w:spacing w:after="0"/>
        <w:ind w:left="8647" w:hanging="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Ръководител на управляващия орган на </w:t>
      </w:r>
    </w:p>
    <w:p w14:paraId="3E44E63F" w14:textId="206D18E9" w:rsidR="00280ADE" w:rsidRDefault="00280ADE" w:rsidP="00280ADE">
      <w:pPr>
        <w:spacing w:after="0"/>
        <w:ind w:left="7797" w:hanging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Програма за развитие на селските район з</w:t>
      </w:r>
      <w:r w:rsidR="000430C1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периода 2014-2020 г.</w:t>
      </w:r>
    </w:p>
    <w:p w14:paraId="067A3B31" w14:textId="77777777" w:rsidR="00280ADE" w:rsidRPr="00280ADE" w:rsidRDefault="00280ADE" w:rsidP="00280ADE">
      <w:pPr>
        <w:spacing w:after="0"/>
        <w:ind w:left="7797" w:hanging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4469" w:type="dxa"/>
        <w:tblLayout w:type="fixed"/>
        <w:tblLook w:val="04A0" w:firstRow="1" w:lastRow="0" w:firstColumn="1" w:lastColumn="0" w:noHBand="0" w:noVBand="1"/>
      </w:tblPr>
      <w:tblGrid>
        <w:gridCol w:w="458"/>
        <w:gridCol w:w="2089"/>
        <w:gridCol w:w="1843"/>
        <w:gridCol w:w="5670"/>
        <w:gridCol w:w="4399"/>
        <w:gridCol w:w="10"/>
      </w:tblGrid>
      <w:tr w:rsidR="003C7F32" w:rsidRPr="00472A1B" w14:paraId="424B16BD" w14:textId="77777777" w:rsidTr="00280ADE">
        <w:trPr>
          <w:trHeight w:val="1645"/>
        </w:trPr>
        <w:tc>
          <w:tcPr>
            <w:tcW w:w="14469" w:type="dxa"/>
            <w:gridSpan w:val="6"/>
            <w:shd w:val="clear" w:color="auto" w:fill="D6E3BC" w:themeFill="accent3" w:themeFillTint="66"/>
          </w:tcPr>
          <w:p w14:paraId="122F793F" w14:textId="47EAA068" w:rsidR="003C7F32" w:rsidRPr="00472A1B" w:rsidRDefault="009060CA" w:rsidP="0060469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0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Таблица за направените предложения и възражения в процеса на обществено обсъждане на проект на </w:t>
            </w:r>
            <w:r w:rsidR="008571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заповед за изменение на </w:t>
            </w:r>
            <w:r w:rsidRPr="009060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насоки за кандидатстване по процедура чрез подбор на проектни предложения </w:t>
            </w:r>
            <w:r w:rsidRPr="009060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280ADE" w:rsidRPr="00280A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BG06RDNP001-6.00</w:t>
            </w:r>
            <w:r w:rsidR="0060469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80ADE" w:rsidRPr="00280A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„</w:t>
            </w:r>
            <w:proofErr w:type="spellStart"/>
            <w:r w:rsidR="00604690" w:rsidRPr="0060469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Производство</w:t>
            </w:r>
            <w:proofErr w:type="spellEnd"/>
            <w:r w:rsidR="00604690" w:rsidRPr="0060469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="00604690" w:rsidRPr="0060469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на</w:t>
            </w:r>
            <w:proofErr w:type="spellEnd"/>
            <w:r w:rsidR="00604690" w:rsidRPr="0060469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="00604690" w:rsidRPr="0060469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продукти</w:t>
            </w:r>
            <w:proofErr w:type="spellEnd"/>
            <w:r w:rsidR="00604690" w:rsidRPr="0060469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</w:t>
            </w:r>
            <w:proofErr w:type="spellStart"/>
            <w:r w:rsidR="00604690" w:rsidRPr="0060469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които</w:t>
            </w:r>
            <w:proofErr w:type="spellEnd"/>
            <w:r w:rsidR="00604690" w:rsidRPr="0060469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="00604690" w:rsidRPr="0060469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не</w:t>
            </w:r>
            <w:proofErr w:type="spellEnd"/>
            <w:r w:rsidR="00604690" w:rsidRPr="0060469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="00604690" w:rsidRPr="0060469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са</w:t>
            </w:r>
            <w:proofErr w:type="spellEnd"/>
            <w:r w:rsidR="00604690" w:rsidRPr="0060469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="00604690" w:rsidRPr="0060469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включени</w:t>
            </w:r>
            <w:proofErr w:type="spellEnd"/>
            <w:r w:rsidR="00604690" w:rsidRPr="0060469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в </w:t>
            </w:r>
            <w:proofErr w:type="spellStart"/>
            <w:r w:rsidR="00604690" w:rsidRPr="0060469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Приложение</w:t>
            </w:r>
            <w:proofErr w:type="spellEnd"/>
            <w:r w:rsidR="00604690" w:rsidRPr="0060469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1 </w:t>
            </w:r>
            <w:proofErr w:type="spellStart"/>
            <w:r w:rsidR="00604690" w:rsidRPr="0060469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от</w:t>
            </w:r>
            <w:proofErr w:type="spellEnd"/>
            <w:r w:rsidR="00604690" w:rsidRPr="0060469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="00604690" w:rsidRPr="0060469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Договора</w:t>
            </w:r>
            <w:proofErr w:type="spellEnd"/>
            <w:r w:rsidR="00604690" w:rsidRPr="0060469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="00604690" w:rsidRPr="0060469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за</w:t>
            </w:r>
            <w:proofErr w:type="spellEnd"/>
            <w:r w:rsidR="00604690" w:rsidRPr="0060469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="00604690" w:rsidRPr="0060469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функционирането</w:t>
            </w:r>
            <w:proofErr w:type="spellEnd"/>
            <w:r w:rsidR="00604690" w:rsidRPr="0060469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="00604690" w:rsidRPr="0060469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на</w:t>
            </w:r>
            <w:proofErr w:type="spellEnd"/>
            <w:r w:rsidR="00604690" w:rsidRPr="0060469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="00604690" w:rsidRPr="0060469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Европейския</w:t>
            </w:r>
            <w:proofErr w:type="spellEnd"/>
            <w:r w:rsidR="00604690" w:rsidRPr="0060469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 w:rsidR="00604690" w:rsidRPr="0060469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съюз</w:t>
            </w:r>
            <w:proofErr w:type="spellEnd"/>
            <w:r w:rsidR="00280ADE" w:rsidRPr="00280A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“ по </w:t>
            </w:r>
            <w:proofErr w:type="spellStart"/>
            <w:r w:rsidR="00280ADE" w:rsidRPr="00280ADE">
              <w:rPr>
                <w:rFonts w:ascii="Times New Roman" w:hAnsi="Times New Roman" w:cs="Times New Roman"/>
                <w:b/>
                <w:sz w:val="24"/>
                <w:szCs w:val="24"/>
              </w:rPr>
              <w:t>подмярка</w:t>
            </w:r>
            <w:proofErr w:type="spellEnd"/>
            <w:r w:rsidR="00280ADE" w:rsidRPr="00280A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6.4.1. „Инвестиции в подкрепа на неземеделски дейности“ от мярка 6 „Развитие на стопанства и предприятия“ </w:t>
            </w:r>
            <w:r w:rsidRPr="009060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Програма за развитие на селските райони за периода 2014-2020 г.</w:t>
            </w:r>
          </w:p>
        </w:tc>
      </w:tr>
      <w:tr w:rsidR="00060675" w:rsidRPr="00472A1B" w14:paraId="0D8536D1" w14:textId="77777777" w:rsidTr="00280ADE">
        <w:trPr>
          <w:gridAfter w:val="1"/>
          <w:wAfter w:w="10" w:type="dxa"/>
        </w:trPr>
        <w:tc>
          <w:tcPr>
            <w:tcW w:w="458" w:type="dxa"/>
            <w:vAlign w:val="center"/>
          </w:tcPr>
          <w:p w14:paraId="55B43AFB" w14:textId="77777777" w:rsidR="00DE7826" w:rsidRPr="00472A1B" w:rsidRDefault="000B31EF" w:rsidP="00C014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A1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089" w:type="dxa"/>
            <w:vAlign w:val="center"/>
          </w:tcPr>
          <w:p w14:paraId="7E47A5B7" w14:textId="77777777" w:rsidR="00DE7826" w:rsidRPr="00472A1B" w:rsidRDefault="00DE7826" w:rsidP="00C014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A1B">
              <w:rPr>
                <w:rFonts w:ascii="Times New Roman" w:hAnsi="Times New Roman" w:cs="Times New Roman"/>
                <w:b/>
                <w:sz w:val="24"/>
                <w:szCs w:val="24"/>
              </w:rPr>
              <w:t>Данни на подателя</w:t>
            </w:r>
          </w:p>
        </w:tc>
        <w:tc>
          <w:tcPr>
            <w:tcW w:w="1843" w:type="dxa"/>
            <w:vAlign w:val="center"/>
          </w:tcPr>
          <w:p w14:paraId="1DAD6B52" w14:textId="77777777" w:rsidR="00DE7826" w:rsidRPr="00472A1B" w:rsidRDefault="00DE7826" w:rsidP="00C014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A1B">
              <w:rPr>
                <w:rFonts w:ascii="Times New Roman" w:hAnsi="Times New Roman" w:cs="Times New Roman"/>
                <w:b/>
                <w:sz w:val="24"/>
                <w:szCs w:val="24"/>
              </w:rPr>
              <w:t>Дата на получаване</w:t>
            </w:r>
          </w:p>
        </w:tc>
        <w:tc>
          <w:tcPr>
            <w:tcW w:w="5670" w:type="dxa"/>
            <w:vAlign w:val="center"/>
          </w:tcPr>
          <w:p w14:paraId="20FAFCC9" w14:textId="77777777" w:rsidR="00DE7826" w:rsidRPr="00472A1B" w:rsidRDefault="00DE7826" w:rsidP="00A31D71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A1B">
              <w:rPr>
                <w:rFonts w:ascii="Times New Roman" w:hAnsi="Times New Roman" w:cs="Times New Roman"/>
                <w:b/>
                <w:sz w:val="24"/>
                <w:szCs w:val="24"/>
              </w:rPr>
              <w:t>Коментар/Предложение</w:t>
            </w:r>
          </w:p>
        </w:tc>
        <w:tc>
          <w:tcPr>
            <w:tcW w:w="4399" w:type="dxa"/>
            <w:vAlign w:val="center"/>
          </w:tcPr>
          <w:p w14:paraId="57C0763F" w14:textId="77777777" w:rsidR="00DE7826" w:rsidRPr="00472A1B" w:rsidRDefault="00DE7826" w:rsidP="00C014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A1B">
              <w:rPr>
                <w:rFonts w:ascii="Times New Roman" w:hAnsi="Times New Roman" w:cs="Times New Roman"/>
                <w:b/>
                <w:sz w:val="24"/>
                <w:szCs w:val="24"/>
              </w:rPr>
              <w:t>Становище на УО на ПРСР</w:t>
            </w:r>
          </w:p>
        </w:tc>
      </w:tr>
      <w:tr w:rsidR="005008FA" w:rsidRPr="00472A1B" w14:paraId="6E87FADF" w14:textId="77777777" w:rsidTr="00280ADE">
        <w:trPr>
          <w:gridAfter w:val="1"/>
          <w:wAfter w:w="10" w:type="dxa"/>
          <w:trHeight w:val="418"/>
        </w:trPr>
        <w:tc>
          <w:tcPr>
            <w:tcW w:w="458" w:type="dxa"/>
            <w:shd w:val="clear" w:color="auto" w:fill="auto"/>
            <w:vAlign w:val="center"/>
          </w:tcPr>
          <w:p w14:paraId="4A94A0EE" w14:textId="77777777" w:rsidR="005008FA" w:rsidRPr="00472A1B" w:rsidRDefault="002E29E4" w:rsidP="009F4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A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08FA" w:rsidRPr="00472A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42EE9C5C" w14:textId="3365C011" w:rsidR="005008FA" w:rsidRPr="00472A1B" w:rsidRDefault="00280ADE" w:rsidP="00280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A1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ържавен фонд</w:t>
            </w:r>
            <w:r w:rsidRPr="00472A1B">
              <w:rPr>
                <w:rFonts w:ascii="Times New Roman" w:hAnsi="Times New Roman" w:cs="Times New Roman"/>
                <w:sz w:val="24"/>
                <w:szCs w:val="24"/>
              </w:rPr>
              <w:t xml:space="preserve"> „Земеделие“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6F13D5A" w14:textId="35D154A5" w:rsidR="005008FA" w:rsidRPr="00280ADE" w:rsidRDefault="00280ADE" w:rsidP="009F4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07.03.2025 г.</w:t>
            </w:r>
          </w:p>
        </w:tc>
        <w:tc>
          <w:tcPr>
            <w:tcW w:w="5670" w:type="dxa"/>
            <w:shd w:val="clear" w:color="auto" w:fill="auto"/>
          </w:tcPr>
          <w:p w14:paraId="5E5E59CA" w14:textId="22F10003" w:rsidR="00294932" w:rsidRPr="00294932" w:rsidRDefault="00294932" w:rsidP="00294932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4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Предлагаме за проектите, за които административното производство все още не е приключило (напр.: върнати за преразглеждане от съд), в Раздел 18. Минимален и максимален срок за изпълнение на проекта от Условията за кандидатстване да бъде създадена нова т. 4, а именно:</w:t>
            </w:r>
          </w:p>
          <w:p w14:paraId="64A78A40" w14:textId="77777777" w:rsidR="00294932" w:rsidRPr="00294932" w:rsidRDefault="00294932" w:rsidP="00294932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4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 Крайният срок по т. 1 и 2 за проектни предложения, одобрени след 30 юни 2024 г., е не по-късно от 1 септември 2025 г.</w:t>
            </w:r>
          </w:p>
          <w:p w14:paraId="036E86C5" w14:textId="0A6F9A5C" w:rsidR="005008FA" w:rsidRPr="00472A1B" w:rsidRDefault="00294932" w:rsidP="00294932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4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Считаме, че с това изменение ще се предостави разумен срок за изпълнение на проектите, одобрени след 30 юни 2024 г. Срокът за изпълнение на </w:t>
            </w:r>
            <w:r w:rsidRPr="00294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одобрените проекти за всички останали кандидати остава указан в т. 3 от Раздел 18.</w:t>
            </w:r>
            <w:r w:rsidRPr="002949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</w:p>
        </w:tc>
        <w:tc>
          <w:tcPr>
            <w:tcW w:w="4399" w:type="dxa"/>
            <w:shd w:val="clear" w:color="auto" w:fill="auto"/>
          </w:tcPr>
          <w:p w14:paraId="5F62DB67" w14:textId="48DC7654" w:rsidR="00071AB3" w:rsidRPr="00294932" w:rsidRDefault="00294932" w:rsidP="00232B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9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Приема се</w:t>
            </w:r>
          </w:p>
        </w:tc>
      </w:tr>
      <w:tr w:rsidR="00BE2249" w:rsidRPr="00472A1B" w14:paraId="2AEF2B66" w14:textId="77777777" w:rsidTr="00280ADE">
        <w:trPr>
          <w:gridAfter w:val="1"/>
          <w:wAfter w:w="10" w:type="dxa"/>
          <w:trHeight w:val="418"/>
        </w:trPr>
        <w:tc>
          <w:tcPr>
            <w:tcW w:w="458" w:type="dxa"/>
            <w:shd w:val="clear" w:color="auto" w:fill="auto"/>
            <w:vAlign w:val="center"/>
          </w:tcPr>
          <w:p w14:paraId="71B031E6" w14:textId="29583FE6" w:rsidR="00BE2249" w:rsidRPr="00472A1B" w:rsidRDefault="00BF44B1" w:rsidP="009F4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0F772C2F" w14:textId="49989312" w:rsidR="00BE2249" w:rsidRPr="00472A1B" w:rsidRDefault="00BF44B1" w:rsidP="009F4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на финансите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E6C2A4" w14:textId="629C0EC7" w:rsidR="00BE2249" w:rsidRPr="00BF44B1" w:rsidRDefault="00BF44B1" w:rsidP="009F4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10.04.2025 г.</w:t>
            </w:r>
          </w:p>
        </w:tc>
        <w:tc>
          <w:tcPr>
            <w:tcW w:w="5670" w:type="dxa"/>
            <w:shd w:val="clear" w:color="auto" w:fill="auto"/>
          </w:tcPr>
          <w:p w14:paraId="0EB3F8E1" w14:textId="77777777" w:rsidR="00BF44B1" w:rsidRPr="00BF44B1" w:rsidRDefault="00BF44B1" w:rsidP="00BF44B1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Видно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представените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документи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измененията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двете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процедури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свързани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въвеждането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относимите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условия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(ЕС) 2023/2831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Комисията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13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декември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2023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година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относно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прилагането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членове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107 и 108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Договора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функционирането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Европейския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съюз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към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помощта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minimis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(ЕС) 2023/2831),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като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същото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време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запазени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условията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(ЕС) 1407/2013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Комисията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18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декември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2013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година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относно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прилагането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членове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107 и 108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Договора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функционирането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Европейския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съюз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към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помощта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minimis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(ЕС) 1407/2013).</w:t>
            </w:r>
            <w:proofErr w:type="gram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Уточнява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условията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(ЕС) 2023/2831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прилагат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договори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сключени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след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30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юни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2024 г.</w:t>
            </w:r>
          </w:p>
          <w:p w14:paraId="579217FD" w14:textId="77777777" w:rsidR="00BF44B1" w:rsidRPr="000430C1" w:rsidRDefault="00BF44B1" w:rsidP="00BF44B1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С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оглед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постигане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съответствие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условията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двете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процедури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разпоредбите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(ЕС) 2023/2831,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правим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следните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бележки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предложения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представените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документи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23BE42A5" w14:textId="33622780" w:rsidR="00BF44B1" w:rsidRPr="00BF44B1" w:rsidRDefault="00BF44B1" w:rsidP="00BF44B1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30C1">
              <w:t xml:space="preserve"> </w:t>
            </w:r>
            <w:proofErr w:type="spellStart"/>
            <w:proofErr w:type="gram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отношение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определения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по-нисък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размер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БФП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предприятията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които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осъществяват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автомобилни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товарни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превози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и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свързаните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това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други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условия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Раздел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9 „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Минимален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максимален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размер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безвъзмездната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финансова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помощ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конкретен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проект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:“ и 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раздел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16 „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Приложим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режим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минимални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държавни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помощи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:“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УК,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бихме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искали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обърнем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внимание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(ЕС) № 2023/2831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въведени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специални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ограничения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тези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предприятия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gram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Обръщаме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внимание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също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разходите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придобиване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товарни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автомобили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сухопътен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транспорт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недопустими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подпомагане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съгласно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(ЕС) 2023/2831,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каквото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условие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е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разписано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т. 7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Раздел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16.</w:t>
            </w:r>
          </w:p>
          <w:p w14:paraId="7A93CA5A" w14:textId="1AD1864C" w:rsidR="00EA33F1" w:rsidRDefault="00BF44B1" w:rsidP="00EA33F1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Считаме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текстът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т. 9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раздел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16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УК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следва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допълни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="00A8706A" w:rsidRPr="00A87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буква</w:t>
            </w:r>
            <w:proofErr w:type="spellEnd"/>
            <w:r w:rsidR="00A8706A" w:rsidRPr="00A87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„г“ </w:t>
            </w:r>
            <w:proofErr w:type="spellStart"/>
            <w:r w:rsidR="00A8706A" w:rsidRPr="00A87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="00A8706A" w:rsidRPr="00A87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8706A" w:rsidRPr="00A87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чл</w:t>
            </w:r>
            <w:proofErr w:type="spellEnd"/>
            <w:r w:rsidR="00A8706A" w:rsidRPr="00A87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1, </w:t>
            </w:r>
            <w:proofErr w:type="spellStart"/>
            <w:r w:rsidR="00A8706A" w:rsidRPr="00A87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пар</w:t>
            </w:r>
            <w:proofErr w:type="spellEnd"/>
            <w:r w:rsidR="00A8706A" w:rsidRPr="00A87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1 </w:t>
            </w:r>
            <w:proofErr w:type="spellStart"/>
            <w:proofErr w:type="gramStart"/>
            <w:r w:rsidR="00A8706A" w:rsidRPr="00A87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="00A8706A" w:rsidRPr="00A87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="00A8706A" w:rsidRPr="00A87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</w:t>
            </w:r>
            <w:proofErr w:type="spellEnd"/>
            <w:proofErr w:type="gramEnd"/>
            <w:r w:rsidR="00A8706A" w:rsidRPr="00A87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(ЕС) № 2023/2831, </w:t>
            </w:r>
            <w:proofErr w:type="spellStart"/>
            <w:r w:rsidR="00A8706A" w:rsidRPr="00A87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както</w:t>
            </w:r>
            <w:proofErr w:type="spellEnd"/>
            <w:r w:rsidR="00A8706A" w:rsidRPr="00A87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е </w:t>
            </w:r>
            <w:proofErr w:type="spellStart"/>
            <w:r w:rsidR="00A8706A" w:rsidRPr="00A87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посочено</w:t>
            </w:r>
            <w:proofErr w:type="spellEnd"/>
            <w:r w:rsidR="00A8706A" w:rsidRPr="00A87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="00A8706A" w:rsidRPr="00A87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разпоредбата</w:t>
            </w:r>
            <w:proofErr w:type="spellEnd"/>
            <w:r w:rsidR="00A8706A" w:rsidRPr="00A87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8706A" w:rsidRPr="00A87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="00A8706A" w:rsidRPr="00A87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8706A" w:rsidRPr="00A87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чл</w:t>
            </w:r>
            <w:proofErr w:type="spellEnd"/>
            <w:r w:rsidR="00A8706A" w:rsidRPr="00A87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1, </w:t>
            </w:r>
            <w:proofErr w:type="spellStart"/>
            <w:r w:rsidR="00A8706A" w:rsidRPr="00A87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параграф</w:t>
            </w:r>
            <w:proofErr w:type="spellEnd"/>
            <w:r w:rsidR="00A8706A" w:rsidRPr="00A87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 </w:t>
            </w:r>
            <w:proofErr w:type="spellStart"/>
            <w:r w:rsidR="00A8706A" w:rsidRPr="00A87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="00A8706A" w:rsidRPr="00A87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8706A" w:rsidRPr="00A87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същия</w:t>
            </w:r>
            <w:proofErr w:type="spellEnd"/>
            <w:r w:rsidR="00A8706A" w:rsidRPr="00A87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8706A" w:rsidRPr="00A87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</w:t>
            </w:r>
            <w:proofErr w:type="spellEnd"/>
            <w:r w:rsidR="00A8706A" w:rsidRPr="00A870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7CF06F82" w14:textId="7319CEAC" w:rsidR="00BE2249" w:rsidRPr="00472A1B" w:rsidRDefault="00BE2249" w:rsidP="00EA33F1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9" w:type="dxa"/>
            <w:shd w:val="clear" w:color="auto" w:fill="auto"/>
          </w:tcPr>
          <w:p w14:paraId="62425241" w14:textId="77777777" w:rsidR="00C56AA6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Приема се</w:t>
            </w:r>
          </w:p>
          <w:p w14:paraId="58D00028" w14:textId="77777777" w:rsidR="004D298F" w:rsidRDefault="004D298F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DACB9E" w14:textId="77777777" w:rsidR="004D298F" w:rsidRDefault="004D298F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2D84F1" w14:textId="77777777" w:rsidR="004D298F" w:rsidRDefault="004D298F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D4CEA0" w14:textId="77777777" w:rsidR="004D298F" w:rsidRDefault="004D298F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977FD5" w14:textId="77777777" w:rsidR="004D298F" w:rsidRDefault="004D298F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2C5CE8" w14:textId="77777777" w:rsidR="004D298F" w:rsidRDefault="004D298F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60C412" w14:textId="77777777" w:rsidR="004D298F" w:rsidRDefault="004D298F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07422B" w14:textId="77777777" w:rsidR="004D298F" w:rsidRDefault="004D298F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B525C5" w14:textId="77777777" w:rsidR="004D298F" w:rsidRDefault="004D298F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5F495C" w14:textId="77777777" w:rsidR="004D298F" w:rsidRDefault="004D298F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86B3BD" w14:textId="77777777" w:rsidR="004D298F" w:rsidRDefault="004D298F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A1C216" w14:textId="77777777" w:rsidR="004D298F" w:rsidRDefault="004D298F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AEDE6D" w14:textId="77777777" w:rsidR="004D298F" w:rsidRDefault="004D298F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3A377B" w14:textId="77777777" w:rsidR="004D298F" w:rsidRDefault="004D298F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254CDF" w14:textId="77777777" w:rsidR="004D298F" w:rsidRDefault="004D298F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C6A4E2" w14:textId="77777777" w:rsidR="004D298F" w:rsidRDefault="004D298F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18835D" w14:textId="77777777" w:rsidR="004D298F" w:rsidRDefault="004D298F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D46C84" w14:textId="77777777" w:rsidR="004D298F" w:rsidRDefault="004D298F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A2DC6D" w14:textId="7C653508" w:rsidR="004D298F" w:rsidRPr="00472A1B" w:rsidRDefault="004D298F" w:rsidP="001022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Приема се по принцип. За да се спаси принципа на ра</w:t>
            </w:r>
            <w:r w:rsidR="00A778B8">
              <w:rPr>
                <w:rFonts w:ascii="Times New Roman" w:hAnsi="Times New Roman" w:cs="Times New Roman"/>
                <w:sz w:val="24"/>
                <w:szCs w:val="24"/>
              </w:rPr>
              <w:t xml:space="preserve">вно третиране на бенефициентите, сключили договор по </w:t>
            </w:r>
            <w:r w:rsidR="00A778B8" w:rsidRPr="00A778B8">
              <w:rPr>
                <w:rFonts w:ascii="Times New Roman" w:hAnsi="Times New Roman" w:cs="Times New Roman"/>
                <w:sz w:val="24"/>
                <w:szCs w:val="24"/>
              </w:rPr>
              <w:t>Регламент (ЕС) 1407/2013</w:t>
            </w:r>
            <w:r w:rsidR="00A778B8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A778B8" w:rsidRPr="000430C1">
              <w:rPr>
                <w:rFonts w:ascii="Times New Roman" w:hAnsi="Times New Roman" w:cs="Times New Roman"/>
                <w:sz w:val="24"/>
                <w:szCs w:val="24"/>
              </w:rPr>
              <w:t xml:space="preserve"> тези</w:t>
            </w:r>
            <w:r w:rsidR="00A778B8">
              <w:t xml:space="preserve"> </w:t>
            </w:r>
            <w:r w:rsidR="00A778B8" w:rsidRPr="00A778B8">
              <w:rPr>
                <w:rFonts w:ascii="Times New Roman" w:hAnsi="Times New Roman" w:cs="Times New Roman"/>
                <w:sz w:val="24"/>
                <w:szCs w:val="24"/>
              </w:rPr>
              <w:t xml:space="preserve">по Регламент (ЕС) 2023/2831 </w:t>
            </w:r>
            <w:r w:rsidR="00A778B8">
              <w:rPr>
                <w:rFonts w:ascii="Times New Roman" w:hAnsi="Times New Roman" w:cs="Times New Roman"/>
                <w:sz w:val="24"/>
                <w:szCs w:val="24"/>
              </w:rPr>
              <w:t>запазваме условието за ограниченията за сухопъте</w:t>
            </w:r>
            <w:r w:rsidR="006718B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778B8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транспорт. И двете категории бенефициенти са </w:t>
            </w:r>
            <w:proofErr w:type="spellStart"/>
            <w:r w:rsidR="00A778B8">
              <w:rPr>
                <w:rFonts w:ascii="Times New Roman" w:hAnsi="Times New Roman" w:cs="Times New Roman"/>
                <w:sz w:val="24"/>
                <w:szCs w:val="24"/>
              </w:rPr>
              <w:t>подоби</w:t>
            </w:r>
            <w:proofErr w:type="spellEnd"/>
            <w:r w:rsidR="00A778B8">
              <w:rPr>
                <w:rFonts w:ascii="Times New Roman" w:hAnsi="Times New Roman" w:cs="Times New Roman"/>
                <w:sz w:val="24"/>
                <w:szCs w:val="24"/>
              </w:rPr>
              <w:t xml:space="preserve"> проектно предложение при едни и същи ограничения към 2018 г.</w:t>
            </w:r>
          </w:p>
        </w:tc>
      </w:tr>
      <w:tr w:rsidR="00BF44B1" w:rsidRPr="00472A1B" w14:paraId="1480A25C" w14:textId="77777777" w:rsidTr="00280ADE">
        <w:trPr>
          <w:gridAfter w:val="1"/>
          <w:wAfter w:w="10" w:type="dxa"/>
          <w:trHeight w:val="418"/>
        </w:trPr>
        <w:tc>
          <w:tcPr>
            <w:tcW w:w="458" w:type="dxa"/>
            <w:shd w:val="clear" w:color="auto" w:fill="auto"/>
            <w:vAlign w:val="center"/>
          </w:tcPr>
          <w:p w14:paraId="08B27257" w14:textId="77777777" w:rsidR="00BF44B1" w:rsidRDefault="00BF44B1" w:rsidP="009F4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shd w:val="clear" w:color="auto" w:fill="auto"/>
            <w:vAlign w:val="center"/>
          </w:tcPr>
          <w:p w14:paraId="40D9335F" w14:textId="77777777" w:rsidR="00BF44B1" w:rsidRDefault="00BF44B1" w:rsidP="009F4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7948D17" w14:textId="77777777" w:rsidR="00BF44B1" w:rsidRPr="00472A1B" w:rsidRDefault="00BF44B1" w:rsidP="009F4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shd w:val="clear" w:color="auto" w:fill="auto"/>
          </w:tcPr>
          <w:p w14:paraId="078DC3F8" w14:textId="77777777" w:rsidR="00BF44B1" w:rsidRPr="00BF44B1" w:rsidRDefault="00BF44B1" w:rsidP="00BF44B1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отношение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условието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натрупване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минимална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помощ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получена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(ЕС) 2023/2832,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разписано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т. 13,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подт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б) </w:t>
            </w:r>
            <w:proofErr w:type="spellStart"/>
            <w:proofErr w:type="gram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proofErr w:type="gram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раздела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държавните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помощи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считаме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същото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следва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приведе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съответствие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разпоредбата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чл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5,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пар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1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2023/2831,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като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„</w:t>
            </w:r>
            <w:proofErr w:type="gram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..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</w:t>
            </w:r>
            <w:proofErr w:type="spellEnd"/>
            <w:proofErr w:type="gram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тавана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установен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посочения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.“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следва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бъде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заличен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gram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В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посочената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разпоредба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е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определен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таван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натрупване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минимална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помощ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получена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(ЕС) 2023/2832,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съгласно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указания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ЕК,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минималната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помощ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(ЕС) № 2023/2831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може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натрупва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минимална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помощ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(ЕС) № 2023/2832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период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години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1 050 000 EUR (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т.е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300 000 EUR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(ЕС) № 2023/2831 + 750 000 EUR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(ЕС) № 2023/2832).</w:t>
            </w:r>
            <w:proofErr w:type="gram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Това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разяснение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е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част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указанието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попълване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приложената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Декларация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минимални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помощи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Приложение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№ 15А.</w:t>
            </w:r>
          </w:p>
          <w:p w14:paraId="48F5936E" w14:textId="64A3C02E" w:rsidR="00BF44B1" w:rsidRPr="00BF44B1" w:rsidRDefault="00BF44B1" w:rsidP="00BF44B1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Предлагаме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в т. 16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раздела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държавни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помощи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УК,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както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във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всички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раздели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където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е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посочено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Приложение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№ 15,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добави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Приложение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№ 15А,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съдържащо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декларация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минимални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помощи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разработена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целите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(ЕС) № 2023/2831 и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приложена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към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пакета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документи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съгласуване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399" w:type="dxa"/>
            <w:shd w:val="clear" w:color="auto" w:fill="auto"/>
          </w:tcPr>
          <w:p w14:paraId="69EC9EA0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Приема се</w:t>
            </w:r>
          </w:p>
          <w:p w14:paraId="31F8695A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C3EB6A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68789D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CDCBDC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035D9E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39A248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67882F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F68A10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47FA54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6401DF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AF415E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4E8919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56BB41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2A8CBF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A078A0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674358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2795F9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BA2149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25C844" w14:textId="2E36FFCC" w:rsidR="00BF44B1" w:rsidRPr="00472A1B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Приема се</w:t>
            </w:r>
          </w:p>
        </w:tc>
      </w:tr>
      <w:tr w:rsidR="00BF44B1" w:rsidRPr="00472A1B" w14:paraId="51DF056F" w14:textId="77777777" w:rsidTr="00280ADE">
        <w:trPr>
          <w:gridAfter w:val="1"/>
          <w:wAfter w:w="10" w:type="dxa"/>
          <w:trHeight w:val="418"/>
        </w:trPr>
        <w:tc>
          <w:tcPr>
            <w:tcW w:w="458" w:type="dxa"/>
            <w:shd w:val="clear" w:color="auto" w:fill="auto"/>
            <w:vAlign w:val="center"/>
          </w:tcPr>
          <w:p w14:paraId="3C8B4C87" w14:textId="77777777" w:rsidR="00BF44B1" w:rsidRDefault="00BF44B1" w:rsidP="009F4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shd w:val="clear" w:color="auto" w:fill="auto"/>
            <w:vAlign w:val="center"/>
          </w:tcPr>
          <w:p w14:paraId="4703B83A" w14:textId="77777777" w:rsidR="00BF44B1" w:rsidRDefault="00BF44B1" w:rsidP="009F4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4BF6A19" w14:textId="77777777" w:rsidR="00BF44B1" w:rsidRPr="00472A1B" w:rsidRDefault="00BF44B1" w:rsidP="009F43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shd w:val="clear" w:color="auto" w:fill="auto"/>
          </w:tcPr>
          <w:p w14:paraId="5DA52B80" w14:textId="77777777" w:rsidR="00BF44B1" w:rsidRPr="00BF44B1" w:rsidRDefault="00BF44B1" w:rsidP="00BF44B1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Във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връзка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въведеното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задължение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бенефициентите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съхраняват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документацията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относно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получената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помощ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minimis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период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години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считано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датата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която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е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предоставена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последната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индивидуална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помощ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схемата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обръщаме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внимание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разлика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№ 1407/2013 в 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(ЕС) № 2023/2831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срокът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съхраняване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регистрираната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информация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минималната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помощ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 10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години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датата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която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е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отпусната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gram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Предвид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изложеното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предлагаме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УО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прецени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необходимостта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редакция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т. 27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раздел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16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УК,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както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чл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10,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ал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4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Административния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договор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договори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сключени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след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30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юни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2024 г.), и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т. 11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Раздел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Условията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изпълнение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процедурата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14:paraId="2482AD43" w14:textId="77777777" w:rsidR="00BF44B1" w:rsidRPr="00BF44B1" w:rsidRDefault="00BF44B1" w:rsidP="00BF44B1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 xml:space="preserve">В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Административния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договор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договорите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сключени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след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30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юни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2024 г. е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посочено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максималния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размер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БФП е в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размер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левовата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равностойност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300 000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евро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период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години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спазване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условията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чл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3 и 5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(ЕС) 2023/2831.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наше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мнение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посоченото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кореспондира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информацията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раздел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9 и 10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УК,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където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определеният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таван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БФП е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левовата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равностойност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200 000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евро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С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оглед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това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считаме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документът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следва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прецизира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това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отношение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6E5649E6" w14:textId="443D9C10" w:rsidR="00BF44B1" w:rsidRPr="00BF44B1" w:rsidRDefault="00BF44B1" w:rsidP="00BF44B1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В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заключение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следва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имате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предвид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е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необходимо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администраторът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помощта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прилага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подходящи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контролни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механизми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базата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които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може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бъде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проверено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изпълнението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всяко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изискванията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спрямо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отделните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подпомагания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рамките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процедурите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така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гарантира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изпълнението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всички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условия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</w:t>
            </w:r>
            <w:proofErr w:type="spellEnd"/>
            <w:r w:rsidRPr="00BF44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(ЕС) 2023/2831.</w:t>
            </w:r>
          </w:p>
        </w:tc>
        <w:tc>
          <w:tcPr>
            <w:tcW w:w="4399" w:type="dxa"/>
            <w:shd w:val="clear" w:color="auto" w:fill="auto"/>
          </w:tcPr>
          <w:p w14:paraId="23A66F2D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Приема се</w:t>
            </w:r>
          </w:p>
          <w:p w14:paraId="0493EDF4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801ECC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E95728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44B8F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39B9E1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947541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1B5269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9F5B86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87742A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7D87FE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6B4679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F332AF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CC2AE4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8A092D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8C1274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Приема се</w:t>
            </w:r>
          </w:p>
          <w:p w14:paraId="77383BCE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277CE1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A5730E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ED2A7E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17BA27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5BD9D8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F3CA27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C1DC99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6B3465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ED56F6" w14:textId="77777777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5DF077" w14:textId="53F99A13" w:rsidR="00BF44B1" w:rsidRDefault="00BF44B1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Приема се</w:t>
            </w:r>
          </w:p>
        </w:tc>
      </w:tr>
      <w:tr w:rsidR="000430C1" w:rsidRPr="00472A1B" w14:paraId="27D3CCED" w14:textId="77777777" w:rsidTr="00280ADE">
        <w:trPr>
          <w:gridAfter w:val="1"/>
          <w:wAfter w:w="10" w:type="dxa"/>
          <w:trHeight w:val="418"/>
        </w:trPr>
        <w:tc>
          <w:tcPr>
            <w:tcW w:w="458" w:type="dxa"/>
            <w:shd w:val="clear" w:color="auto" w:fill="auto"/>
            <w:vAlign w:val="center"/>
          </w:tcPr>
          <w:p w14:paraId="2AFF116D" w14:textId="1294197B" w:rsidR="000430C1" w:rsidRDefault="000430C1" w:rsidP="009F4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164C47AF" w14:textId="28536422" w:rsidR="000430C1" w:rsidRDefault="000430C1" w:rsidP="00043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0C1">
              <w:rPr>
                <w:rFonts w:ascii="Times New Roman" w:hAnsi="Times New Roman" w:cs="Times New Roman"/>
                <w:sz w:val="24"/>
                <w:szCs w:val="24"/>
              </w:rPr>
              <w:t>Министерство на финансите</w:t>
            </w:r>
            <w:r w:rsidRPr="000430C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66CA30" w14:textId="618BC77E" w:rsidR="000430C1" w:rsidRPr="000430C1" w:rsidRDefault="000430C1" w:rsidP="009F4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12.05.2025 г.</w:t>
            </w:r>
          </w:p>
        </w:tc>
        <w:tc>
          <w:tcPr>
            <w:tcW w:w="5670" w:type="dxa"/>
            <w:shd w:val="clear" w:color="auto" w:fill="auto"/>
          </w:tcPr>
          <w:p w14:paraId="637E5455" w14:textId="77777777" w:rsidR="000430C1" w:rsidRPr="000430C1" w:rsidRDefault="000430C1" w:rsidP="000430C1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В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отговор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Ваше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писмо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с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което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представят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второ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съгласуване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изменени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документи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горепосочените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процедури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съответствието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приложимите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правила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държавните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помощи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уведомяваме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следното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007629B5" w14:textId="77777777" w:rsidR="000430C1" w:rsidRPr="000430C1" w:rsidRDefault="000430C1" w:rsidP="000430C1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Приемаме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мотивите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спазване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принципа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равно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третиране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бенефициентите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изложени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във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връзка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нашия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коментар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относно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включеното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процедурите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условие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по-нисък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размер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безвъзмездната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помощ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предприятията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които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осъществяват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автомобилни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товарни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превози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14:paraId="0D673D1A" w14:textId="502ABCA6" w:rsidR="000430C1" w:rsidRPr="00BF44B1" w:rsidRDefault="000430C1" w:rsidP="000430C1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Считаме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всички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останали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бележки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предложения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свързани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имплементиране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относимите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правила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Регламент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(ЕС) 2023/2831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Комисията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13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декември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2023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година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относно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прилагането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членове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107 и 108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Договора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функционирането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Европейския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съюз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към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помощта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minimis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изразени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наше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писмо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изх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№ 04-23-42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10.04.2025 </w:t>
            </w:r>
            <w:proofErr w:type="gram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г.,</w:t>
            </w:r>
            <w:proofErr w:type="gram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отразени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представените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коригирани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документи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двете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процедури</w:t>
            </w:r>
            <w:proofErr w:type="spellEnd"/>
            <w:r w:rsidRPr="000430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399" w:type="dxa"/>
            <w:shd w:val="clear" w:color="auto" w:fill="auto"/>
          </w:tcPr>
          <w:p w14:paraId="4C9FC19F" w14:textId="674A9E74" w:rsidR="000430C1" w:rsidRPr="000C1469" w:rsidRDefault="000C1469" w:rsidP="009F43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Приема се</w:t>
            </w:r>
          </w:p>
        </w:tc>
      </w:tr>
    </w:tbl>
    <w:p w14:paraId="3460ADD0" w14:textId="77777777" w:rsidR="00B36EF4" w:rsidRDefault="00B36EF4" w:rsidP="00C23E16"/>
    <w:p w14:paraId="7BF8E285" w14:textId="10884944" w:rsidR="00750D6A" w:rsidRDefault="00750D6A" w:rsidP="00A864C7"/>
    <w:sectPr w:rsidR="00750D6A" w:rsidSect="002A1437">
      <w:pgSz w:w="16838" w:h="11906" w:orient="landscape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810CB"/>
    <w:multiLevelType w:val="hybridMultilevel"/>
    <w:tmpl w:val="74F2D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43DBF"/>
    <w:multiLevelType w:val="hybridMultilevel"/>
    <w:tmpl w:val="EDCC3B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149DB"/>
    <w:multiLevelType w:val="hybridMultilevel"/>
    <w:tmpl w:val="45BE06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119E8"/>
    <w:multiLevelType w:val="hybridMultilevel"/>
    <w:tmpl w:val="3B941340"/>
    <w:lvl w:ilvl="0" w:tplc="53F8C60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7E51B6"/>
    <w:multiLevelType w:val="hybridMultilevel"/>
    <w:tmpl w:val="79DC69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52DF4"/>
    <w:multiLevelType w:val="hybridMultilevel"/>
    <w:tmpl w:val="B07ADFA0"/>
    <w:lvl w:ilvl="0" w:tplc="4FDAC8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27866"/>
    <w:multiLevelType w:val="multilevel"/>
    <w:tmpl w:val="6854D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BA5259"/>
    <w:multiLevelType w:val="hybridMultilevel"/>
    <w:tmpl w:val="063A639A"/>
    <w:lvl w:ilvl="0" w:tplc="7FECE7E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9701717"/>
    <w:multiLevelType w:val="hybridMultilevel"/>
    <w:tmpl w:val="4CE09D3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70FFD"/>
    <w:multiLevelType w:val="hybridMultilevel"/>
    <w:tmpl w:val="A608EAA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F86B22"/>
    <w:multiLevelType w:val="hybridMultilevel"/>
    <w:tmpl w:val="F796FC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C94387"/>
    <w:multiLevelType w:val="hybridMultilevel"/>
    <w:tmpl w:val="702A5BA6"/>
    <w:lvl w:ilvl="0" w:tplc="4A3AE62E">
      <w:start w:val="1"/>
      <w:numFmt w:val="decimal"/>
      <w:lvlText w:val="%1."/>
      <w:lvlJc w:val="left"/>
      <w:pPr>
        <w:ind w:left="53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2" w15:restartNumberingAfterBreak="0">
    <w:nsid w:val="2BFF0888"/>
    <w:multiLevelType w:val="hybridMultilevel"/>
    <w:tmpl w:val="FACE5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9302F3"/>
    <w:multiLevelType w:val="hybridMultilevel"/>
    <w:tmpl w:val="2D90554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466926"/>
    <w:multiLevelType w:val="hybridMultilevel"/>
    <w:tmpl w:val="70F4E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454E1"/>
    <w:multiLevelType w:val="hybridMultilevel"/>
    <w:tmpl w:val="365CC678"/>
    <w:lvl w:ilvl="0" w:tplc="5920B2F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BF5639"/>
    <w:multiLevelType w:val="hybridMultilevel"/>
    <w:tmpl w:val="C4CAF03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24DB4"/>
    <w:multiLevelType w:val="hybridMultilevel"/>
    <w:tmpl w:val="C3DE9B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221A9C"/>
    <w:multiLevelType w:val="hybridMultilevel"/>
    <w:tmpl w:val="412CC226"/>
    <w:lvl w:ilvl="0" w:tplc="C9A8CA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E54E33"/>
    <w:multiLevelType w:val="hybridMultilevel"/>
    <w:tmpl w:val="7200F4DA"/>
    <w:lvl w:ilvl="0" w:tplc="AB72A86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20309DC"/>
    <w:multiLevelType w:val="hybridMultilevel"/>
    <w:tmpl w:val="79C6FC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E9718A"/>
    <w:multiLevelType w:val="hybridMultilevel"/>
    <w:tmpl w:val="E4D42920"/>
    <w:lvl w:ilvl="0" w:tplc="1B062E0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3202E33"/>
    <w:multiLevelType w:val="hybridMultilevel"/>
    <w:tmpl w:val="1772F4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161F90"/>
    <w:multiLevelType w:val="hybridMultilevel"/>
    <w:tmpl w:val="418277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65234"/>
    <w:multiLevelType w:val="hybridMultilevel"/>
    <w:tmpl w:val="C27C9C88"/>
    <w:lvl w:ilvl="0" w:tplc="BF081500">
      <w:numFmt w:val="bullet"/>
      <w:lvlText w:val="-"/>
      <w:lvlJc w:val="left"/>
      <w:pPr>
        <w:ind w:left="1460" w:hanging="229"/>
      </w:pPr>
      <w:rPr>
        <w:rFonts w:ascii="Times New Roman" w:eastAsia="Times New Roman" w:hAnsi="Times New Roman" w:cs="Times New Roman" w:hint="default"/>
        <w:color w:val="231F20"/>
        <w:w w:val="99"/>
        <w:sz w:val="20"/>
        <w:szCs w:val="20"/>
        <w:lang w:val="en-US" w:eastAsia="en-US" w:bidi="ar-SA"/>
      </w:rPr>
    </w:lvl>
    <w:lvl w:ilvl="1" w:tplc="1152CFB6">
      <w:numFmt w:val="bullet"/>
      <w:lvlText w:val="•"/>
      <w:lvlJc w:val="left"/>
      <w:pPr>
        <w:ind w:left="2278" w:hanging="229"/>
      </w:pPr>
      <w:rPr>
        <w:rFonts w:hint="default"/>
        <w:lang w:val="en-US" w:eastAsia="en-US" w:bidi="ar-SA"/>
      </w:rPr>
    </w:lvl>
    <w:lvl w:ilvl="2" w:tplc="F90CC93A">
      <w:numFmt w:val="bullet"/>
      <w:lvlText w:val="•"/>
      <w:lvlJc w:val="left"/>
      <w:pPr>
        <w:ind w:left="3097" w:hanging="229"/>
      </w:pPr>
      <w:rPr>
        <w:rFonts w:hint="default"/>
        <w:lang w:val="en-US" w:eastAsia="en-US" w:bidi="ar-SA"/>
      </w:rPr>
    </w:lvl>
    <w:lvl w:ilvl="3" w:tplc="41EA3418">
      <w:numFmt w:val="bullet"/>
      <w:lvlText w:val="•"/>
      <w:lvlJc w:val="left"/>
      <w:pPr>
        <w:ind w:left="3915" w:hanging="229"/>
      </w:pPr>
      <w:rPr>
        <w:rFonts w:hint="default"/>
        <w:lang w:val="en-US" w:eastAsia="en-US" w:bidi="ar-SA"/>
      </w:rPr>
    </w:lvl>
    <w:lvl w:ilvl="4" w:tplc="DA5206FC">
      <w:numFmt w:val="bullet"/>
      <w:lvlText w:val="•"/>
      <w:lvlJc w:val="left"/>
      <w:pPr>
        <w:ind w:left="4734" w:hanging="229"/>
      </w:pPr>
      <w:rPr>
        <w:rFonts w:hint="default"/>
        <w:lang w:val="en-US" w:eastAsia="en-US" w:bidi="ar-SA"/>
      </w:rPr>
    </w:lvl>
    <w:lvl w:ilvl="5" w:tplc="3FEA48DE">
      <w:numFmt w:val="bullet"/>
      <w:lvlText w:val="•"/>
      <w:lvlJc w:val="left"/>
      <w:pPr>
        <w:ind w:left="5553" w:hanging="229"/>
      </w:pPr>
      <w:rPr>
        <w:rFonts w:hint="default"/>
        <w:lang w:val="en-US" w:eastAsia="en-US" w:bidi="ar-SA"/>
      </w:rPr>
    </w:lvl>
    <w:lvl w:ilvl="6" w:tplc="EDE2913E">
      <w:numFmt w:val="bullet"/>
      <w:lvlText w:val="•"/>
      <w:lvlJc w:val="left"/>
      <w:pPr>
        <w:ind w:left="6371" w:hanging="229"/>
      </w:pPr>
      <w:rPr>
        <w:rFonts w:hint="default"/>
        <w:lang w:val="en-US" w:eastAsia="en-US" w:bidi="ar-SA"/>
      </w:rPr>
    </w:lvl>
    <w:lvl w:ilvl="7" w:tplc="8ADCC4A8">
      <w:numFmt w:val="bullet"/>
      <w:lvlText w:val="•"/>
      <w:lvlJc w:val="left"/>
      <w:pPr>
        <w:ind w:left="7190" w:hanging="229"/>
      </w:pPr>
      <w:rPr>
        <w:rFonts w:hint="default"/>
        <w:lang w:val="en-US" w:eastAsia="en-US" w:bidi="ar-SA"/>
      </w:rPr>
    </w:lvl>
    <w:lvl w:ilvl="8" w:tplc="07361896">
      <w:numFmt w:val="bullet"/>
      <w:lvlText w:val="•"/>
      <w:lvlJc w:val="left"/>
      <w:pPr>
        <w:ind w:left="8008" w:hanging="229"/>
      </w:pPr>
      <w:rPr>
        <w:rFonts w:hint="default"/>
        <w:lang w:val="en-US" w:eastAsia="en-US" w:bidi="ar-SA"/>
      </w:rPr>
    </w:lvl>
  </w:abstractNum>
  <w:abstractNum w:abstractNumId="25" w15:restartNumberingAfterBreak="0">
    <w:nsid w:val="5F806CE2"/>
    <w:multiLevelType w:val="hybridMultilevel"/>
    <w:tmpl w:val="0DDE3FD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1625C8"/>
    <w:multiLevelType w:val="hybridMultilevel"/>
    <w:tmpl w:val="507E6D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B32474"/>
    <w:multiLevelType w:val="hybridMultilevel"/>
    <w:tmpl w:val="7E9CBFF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FE06CE"/>
    <w:multiLevelType w:val="hybridMultilevel"/>
    <w:tmpl w:val="046CFB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1E29F0"/>
    <w:multiLevelType w:val="hybridMultilevel"/>
    <w:tmpl w:val="67D8339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34774A"/>
    <w:multiLevelType w:val="hybridMultilevel"/>
    <w:tmpl w:val="7552693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B939C0"/>
    <w:multiLevelType w:val="hybridMultilevel"/>
    <w:tmpl w:val="F572C32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AB6A52"/>
    <w:multiLevelType w:val="hybridMultilevel"/>
    <w:tmpl w:val="324AC7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3"/>
  </w:num>
  <w:num w:numId="3">
    <w:abstractNumId w:val="27"/>
  </w:num>
  <w:num w:numId="4">
    <w:abstractNumId w:val="31"/>
  </w:num>
  <w:num w:numId="5">
    <w:abstractNumId w:val="5"/>
  </w:num>
  <w:num w:numId="6">
    <w:abstractNumId w:val="13"/>
  </w:num>
  <w:num w:numId="7">
    <w:abstractNumId w:val="16"/>
  </w:num>
  <w:num w:numId="8">
    <w:abstractNumId w:val="20"/>
  </w:num>
  <w:num w:numId="9">
    <w:abstractNumId w:val="12"/>
  </w:num>
  <w:num w:numId="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15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4"/>
  </w:num>
  <w:num w:numId="18">
    <w:abstractNumId w:val="4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"/>
  </w:num>
  <w:num w:numId="22">
    <w:abstractNumId w:val="2"/>
  </w:num>
  <w:num w:numId="23">
    <w:abstractNumId w:val="25"/>
  </w:num>
  <w:num w:numId="24">
    <w:abstractNumId w:val="1"/>
  </w:num>
  <w:num w:numId="25">
    <w:abstractNumId w:val="0"/>
  </w:num>
  <w:num w:numId="26">
    <w:abstractNumId w:val="11"/>
  </w:num>
  <w:num w:numId="27">
    <w:abstractNumId w:val="10"/>
  </w:num>
  <w:num w:numId="28">
    <w:abstractNumId w:val="21"/>
  </w:num>
  <w:num w:numId="29">
    <w:abstractNumId w:val="22"/>
  </w:num>
  <w:num w:numId="30">
    <w:abstractNumId w:val="8"/>
  </w:num>
  <w:num w:numId="31">
    <w:abstractNumId w:val="30"/>
  </w:num>
  <w:num w:numId="32">
    <w:abstractNumId w:val="29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oNotDisplayPageBoundaries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EA1"/>
    <w:rsid w:val="00002669"/>
    <w:rsid w:val="000160EE"/>
    <w:rsid w:val="00020146"/>
    <w:rsid w:val="0002546F"/>
    <w:rsid w:val="00026B90"/>
    <w:rsid w:val="000430C1"/>
    <w:rsid w:val="00043A69"/>
    <w:rsid w:val="00047D1E"/>
    <w:rsid w:val="0005063B"/>
    <w:rsid w:val="00051430"/>
    <w:rsid w:val="00057F95"/>
    <w:rsid w:val="00060675"/>
    <w:rsid w:val="00065527"/>
    <w:rsid w:val="00070621"/>
    <w:rsid w:val="00071AB3"/>
    <w:rsid w:val="000938C2"/>
    <w:rsid w:val="00093C7A"/>
    <w:rsid w:val="00094EA2"/>
    <w:rsid w:val="000A0F5B"/>
    <w:rsid w:val="000A7936"/>
    <w:rsid w:val="000B31EF"/>
    <w:rsid w:val="000C1331"/>
    <w:rsid w:val="000C1469"/>
    <w:rsid w:val="000D24DF"/>
    <w:rsid w:val="000D35B8"/>
    <w:rsid w:val="000E078B"/>
    <w:rsid w:val="000E08FD"/>
    <w:rsid w:val="000E2E65"/>
    <w:rsid w:val="000E2EA1"/>
    <w:rsid w:val="000F7C57"/>
    <w:rsid w:val="00100168"/>
    <w:rsid w:val="0010180E"/>
    <w:rsid w:val="00102228"/>
    <w:rsid w:val="001032EC"/>
    <w:rsid w:val="00106948"/>
    <w:rsid w:val="001137A1"/>
    <w:rsid w:val="00114804"/>
    <w:rsid w:val="00120616"/>
    <w:rsid w:val="00125EEB"/>
    <w:rsid w:val="001327FA"/>
    <w:rsid w:val="001366F5"/>
    <w:rsid w:val="0014437F"/>
    <w:rsid w:val="00157F9A"/>
    <w:rsid w:val="001822F8"/>
    <w:rsid w:val="00184F8E"/>
    <w:rsid w:val="0018600B"/>
    <w:rsid w:val="00186F58"/>
    <w:rsid w:val="0018762C"/>
    <w:rsid w:val="001957C4"/>
    <w:rsid w:val="001A07CB"/>
    <w:rsid w:val="001B0D03"/>
    <w:rsid w:val="001B2299"/>
    <w:rsid w:val="001C2D80"/>
    <w:rsid w:val="001E5958"/>
    <w:rsid w:val="001F32C5"/>
    <w:rsid w:val="001F49CA"/>
    <w:rsid w:val="00200F16"/>
    <w:rsid w:val="0021347B"/>
    <w:rsid w:val="00217DBD"/>
    <w:rsid w:val="00230E2B"/>
    <w:rsid w:val="00232B2A"/>
    <w:rsid w:val="00240A24"/>
    <w:rsid w:val="00241A60"/>
    <w:rsid w:val="00244526"/>
    <w:rsid w:val="00250BEA"/>
    <w:rsid w:val="00251EE7"/>
    <w:rsid w:val="00266070"/>
    <w:rsid w:val="00280ADE"/>
    <w:rsid w:val="00283CBB"/>
    <w:rsid w:val="00294932"/>
    <w:rsid w:val="002A1437"/>
    <w:rsid w:val="002A2FAF"/>
    <w:rsid w:val="002A696B"/>
    <w:rsid w:val="002B7197"/>
    <w:rsid w:val="002C448A"/>
    <w:rsid w:val="002C714E"/>
    <w:rsid w:val="002D596D"/>
    <w:rsid w:val="002E02BB"/>
    <w:rsid w:val="002E29E4"/>
    <w:rsid w:val="002F3F22"/>
    <w:rsid w:val="002F3F9A"/>
    <w:rsid w:val="002F6A1D"/>
    <w:rsid w:val="00303F80"/>
    <w:rsid w:val="003107C9"/>
    <w:rsid w:val="00337928"/>
    <w:rsid w:val="003446D5"/>
    <w:rsid w:val="00350688"/>
    <w:rsid w:val="00353833"/>
    <w:rsid w:val="00361DC2"/>
    <w:rsid w:val="00375AB4"/>
    <w:rsid w:val="00376C97"/>
    <w:rsid w:val="00377B95"/>
    <w:rsid w:val="0038640D"/>
    <w:rsid w:val="00394725"/>
    <w:rsid w:val="003A45AC"/>
    <w:rsid w:val="003B3B4B"/>
    <w:rsid w:val="003C124D"/>
    <w:rsid w:val="003C6089"/>
    <w:rsid w:val="003C6CCF"/>
    <w:rsid w:val="003C7A30"/>
    <w:rsid w:val="003C7F32"/>
    <w:rsid w:val="003D488A"/>
    <w:rsid w:val="003E2096"/>
    <w:rsid w:val="003E3CC6"/>
    <w:rsid w:val="003E74D0"/>
    <w:rsid w:val="003F1AC8"/>
    <w:rsid w:val="00420EAF"/>
    <w:rsid w:val="00426D71"/>
    <w:rsid w:val="00427F18"/>
    <w:rsid w:val="00445E43"/>
    <w:rsid w:val="00454479"/>
    <w:rsid w:val="00455D20"/>
    <w:rsid w:val="00461422"/>
    <w:rsid w:val="00467FF5"/>
    <w:rsid w:val="00472A1B"/>
    <w:rsid w:val="00477BD5"/>
    <w:rsid w:val="00480F3E"/>
    <w:rsid w:val="00482D7B"/>
    <w:rsid w:val="0049265A"/>
    <w:rsid w:val="004B0E5A"/>
    <w:rsid w:val="004B1666"/>
    <w:rsid w:val="004B455F"/>
    <w:rsid w:val="004B73A9"/>
    <w:rsid w:val="004C1B95"/>
    <w:rsid w:val="004D298F"/>
    <w:rsid w:val="004D498A"/>
    <w:rsid w:val="004D72D4"/>
    <w:rsid w:val="004D7B0C"/>
    <w:rsid w:val="004E465C"/>
    <w:rsid w:val="004F3356"/>
    <w:rsid w:val="004F6E6B"/>
    <w:rsid w:val="005008FA"/>
    <w:rsid w:val="0050109F"/>
    <w:rsid w:val="0050278C"/>
    <w:rsid w:val="00503DD9"/>
    <w:rsid w:val="00510F67"/>
    <w:rsid w:val="00515983"/>
    <w:rsid w:val="00525CC6"/>
    <w:rsid w:val="0052672A"/>
    <w:rsid w:val="005353BB"/>
    <w:rsid w:val="00540779"/>
    <w:rsid w:val="00540D78"/>
    <w:rsid w:val="00541C80"/>
    <w:rsid w:val="005551CC"/>
    <w:rsid w:val="005672F3"/>
    <w:rsid w:val="00577EC9"/>
    <w:rsid w:val="0058195B"/>
    <w:rsid w:val="00583683"/>
    <w:rsid w:val="00591299"/>
    <w:rsid w:val="00595198"/>
    <w:rsid w:val="005A3AD7"/>
    <w:rsid w:val="005B14BE"/>
    <w:rsid w:val="005B3294"/>
    <w:rsid w:val="005B3E43"/>
    <w:rsid w:val="005B5373"/>
    <w:rsid w:val="005C0918"/>
    <w:rsid w:val="005C39BE"/>
    <w:rsid w:val="005C71AE"/>
    <w:rsid w:val="005D6EE1"/>
    <w:rsid w:val="005E33AD"/>
    <w:rsid w:val="005E4160"/>
    <w:rsid w:val="005E5002"/>
    <w:rsid w:val="005F0BC0"/>
    <w:rsid w:val="005F17D4"/>
    <w:rsid w:val="005F53FD"/>
    <w:rsid w:val="00601AAA"/>
    <w:rsid w:val="00603772"/>
    <w:rsid w:val="00604690"/>
    <w:rsid w:val="006110D8"/>
    <w:rsid w:val="0061502D"/>
    <w:rsid w:val="006201F9"/>
    <w:rsid w:val="006210FD"/>
    <w:rsid w:val="00640012"/>
    <w:rsid w:val="006424FF"/>
    <w:rsid w:val="00642A1E"/>
    <w:rsid w:val="0065426D"/>
    <w:rsid w:val="00657161"/>
    <w:rsid w:val="00660708"/>
    <w:rsid w:val="006718BC"/>
    <w:rsid w:val="00677A69"/>
    <w:rsid w:val="00686FE1"/>
    <w:rsid w:val="00693552"/>
    <w:rsid w:val="006936A4"/>
    <w:rsid w:val="006959EF"/>
    <w:rsid w:val="006B480E"/>
    <w:rsid w:val="006C1C81"/>
    <w:rsid w:val="006C3A75"/>
    <w:rsid w:val="006C7DB5"/>
    <w:rsid w:val="006D22E3"/>
    <w:rsid w:val="006D4168"/>
    <w:rsid w:val="006E2249"/>
    <w:rsid w:val="006E4F83"/>
    <w:rsid w:val="006E578D"/>
    <w:rsid w:val="006E6108"/>
    <w:rsid w:val="006E6F6C"/>
    <w:rsid w:val="006F2DAB"/>
    <w:rsid w:val="006F7B74"/>
    <w:rsid w:val="00707255"/>
    <w:rsid w:val="0072337F"/>
    <w:rsid w:val="00724A00"/>
    <w:rsid w:val="0073130D"/>
    <w:rsid w:val="00742B74"/>
    <w:rsid w:val="00750D6A"/>
    <w:rsid w:val="00755EED"/>
    <w:rsid w:val="007617C2"/>
    <w:rsid w:val="00771CDF"/>
    <w:rsid w:val="00772541"/>
    <w:rsid w:val="007809C3"/>
    <w:rsid w:val="007824C5"/>
    <w:rsid w:val="00787F0B"/>
    <w:rsid w:val="0079002B"/>
    <w:rsid w:val="00790DF0"/>
    <w:rsid w:val="00791CC4"/>
    <w:rsid w:val="007953C8"/>
    <w:rsid w:val="0079604D"/>
    <w:rsid w:val="007A420B"/>
    <w:rsid w:val="007A632A"/>
    <w:rsid w:val="007B18AB"/>
    <w:rsid w:val="007B2E30"/>
    <w:rsid w:val="007B5454"/>
    <w:rsid w:val="007B7667"/>
    <w:rsid w:val="007B7778"/>
    <w:rsid w:val="007C3972"/>
    <w:rsid w:val="007C7405"/>
    <w:rsid w:val="007D15E8"/>
    <w:rsid w:val="007D5B7B"/>
    <w:rsid w:val="007E3E95"/>
    <w:rsid w:val="007E6703"/>
    <w:rsid w:val="00806AEA"/>
    <w:rsid w:val="0081686A"/>
    <w:rsid w:val="008170AA"/>
    <w:rsid w:val="00825A19"/>
    <w:rsid w:val="00840848"/>
    <w:rsid w:val="00840ADC"/>
    <w:rsid w:val="00851A1D"/>
    <w:rsid w:val="008567FE"/>
    <w:rsid w:val="008571CE"/>
    <w:rsid w:val="008803C8"/>
    <w:rsid w:val="008807F3"/>
    <w:rsid w:val="00886E27"/>
    <w:rsid w:val="008921DA"/>
    <w:rsid w:val="008924D7"/>
    <w:rsid w:val="00892F5C"/>
    <w:rsid w:val="008954F8"/>
    <w:rsid w:val="008A4E2A"/>
    <w:rsid w:val="008A6811"/>
    <w:rsid w:val="008D30C7"/>
    <w:rsid w:val="008E078F"/>
    <w:rsid w:val="008E58B2"/>
    <w:rsid w:val="008F08A1"/>
    <w:rsid w:val="00905189"/>
    <w:rsid w:val="009060CA"/>
    <w:rsid w:val="009061CF"/>
    <w:rsid w:val="00911330"/>
    <w:rsid w:val="00911A2A"/>
    <w:rsid w:val="00916280"/>
    <w:rsid w:val="00943DE0"/>
    <w:rsid w:val="00944135"/>
    <w:rsid w:val="00951B53"/>
    <w:rsid w:val="00957A39"/>
    <w:rsid w:val="00962CC1"/>
    <w:rsid w:val="00980945"/>
    <w:rsid w:val="00987DB4"/>
    <w:rsid w:val="00990BEB"/>
    <w:rsid w:val="009960C6"/>
    <w:rsid w:val="009A1703"/>
    <w:rsid w:val="009B1F0E"/>
    <w:rsid w:val="009B207B"/>
    <w:rsid w:val="009C6628"/>
    <w:rsid w:val="009E4114"/>
    <w:rsid w:val="009F4371"/>
    <w:rsid w:val="009F53DC"/>
    <w:rsid w:val="00A11C2C"/>
    <w:rsid w:val="00A237DA"/>
    <w:rsid w:val="00A26991"/>
    <w:rsid w:val="00A31D71"/>
    <w:rsid w:val="00A37DF0"/>
    <w:rsid w:val="00A45863"/>
    <w:rsid w:val="00A46630"/>
    <w:rsid w:val="00A51048"/>
    <w:rsid w:val="00A53D69"/>
    <w:rsid w:val="00A6049B"/>
    <w:rsid w:val="00A61ED8"/>
    <w:rsid w:val="00A6283B"/>
    <w:rsid w:val="00A671C8"/>
    <w:rsid w:val="00A6744D"/>
    <w:rsid w:val="00A778B8"/>
    <w:rsid w:val="00A83E6C"/>
    <w:rsid w:val="00A864C7"/>
    <w:rsid w:val="00A8706A"/>
    <w:rsid w:val="00A87828"/>
    <w:rsid w:val="00AB08FA"/>
    <w:rsid w:val="00AB1EB1"/>
    <w:rsid w:val="00AC1EF6"/>
    <w:rsid w:val="00AD2F0B"/>
    <w:rsid w:val="00AE2740"/>
    <w:rsid w:val="00AE791E"/>
    <w:rsid w:val="00AF4738"/>
    <w:rsid w:val="00B00AA1"/>
    <w:rsid w:val="00B01790"/>
    <w:rsid w:val="00B017CC"/>
    <w:rsid w:val="00B05613"/>
    <w:rsid w:val="00B11311"/>
    <w:rsid w:val="00B22BC0"/>
    <w:rsid w:val="00B2544E"/>
    <w:rsid w:val="00B3089A"/>
    <w:rsid w:val="00B31955"/>
    <w:rsid w:val="00B35F9B"/>
    <w:rsid w:val="00B36EF4"/>
    <w:rsid w:val="00B4408B"/>
    <w:rsid w:val="00B51E34"/>
    <w:rsid w:val="00B52BAC"/>
    <w:rsid w:val="00B53634"/>
    <w:rsid w:val="00B53830"/>
    <w:rsid w:val="00B54DCA"/>
    <w:rsid w:val="00B55CFC"/>
    <w:rsid w:val="00B60846"/>
    <w:rsid w:val="00B704F0"/>
    <w:rsid w:val="00B73FA7"/>
    <w:rsid w:val="00B74791"/>
    <w:rsid w:val="00B80540"/>
    <w:rsid w:val="00B85FD5"/>
    <w:rsid w:val="00BA290A"/>
    <w:rsid w:val="00BA2BE7"/>
    <w:rsid w:val="00BA7FE8"/>
    <w:rsid w:val="00BB0FBB"/>
    <w:rsid w:val="00BB4361"/>
    <w:rsid w:val="00BD32FB"/>
    <w:rsid w:val="00BD49A2"/>
    <w:rsid w:val="00BE2249"/>
    <w:rsid w:val="00BE3848"/>
    <w:rsid w:val="00BE3A4B"/>
    <w:rsid w:val="00BE3BC3"/>
    <w:rsid w:val="00BE7B1B"/>
    <w:rsid w:val="00BF44B1"/>
    <w:rsid w:val="00BF7921"/>
    <w:rsid w:val="00C00EF0"/>
    <w:rsid w:val="00C01447"/>
    <w:rsid w:val="00C03D07"/>
    <w:rsid w:val="00C05A5D"/>
    <w:rsid w:val="00C10E0C"/>
    <w:rsid w:val="00C128FC"/>
    <w:rsid w:val="00C23B8A"/>
    <w:rsid w:val="00C23E16"/>
    <w:rsid w:val="00C25FF6"/>
    <w:rsid w:val="00C265AB"/>
    <w:rsid w:val="00C35D18"/>
    <w:rsid w:val="00C45245"/>
    <w:rsid w:val="00C505A9"/>
    <w:rsid w:val="00C506D3"/>
    <w:rsid w:val="00C55ED0"/>
    <w:rsid w:val="00C56AA6"/>
    <w:rsid w:val="00C60493"/>
    <w:rsid w:val="00C740AB"/>
    <w:rsid w:val="00C877D1"/>
    <w:rsid w:val="00C91DA3"/>
    <w:rsid w:val="00C95E82"/>
    <w:rsid w:val="00C96708"/>
    <w:rsid w:val="00C969AB"/>
    <w:rsid w:val="00CA3046"/>
    <w:rsid w:val="00CB2122"/>
    <w:rsid w:val="00CB6299"/>
    <w:rsid w:val="00CC2AAF"/>
    <w:rsid w:val="00CC3EF4"/>
    <w:rsid w:val="00CC54B9"/>
    <w:rsid w:val="00CD2B72"/>
    <w:rsid w:val="00CD32F8"/>
    <w:rsid w:val="00CE4875"/>
    <w:rsid w:val="00CF2C9C"/>
    <w:rsid w:val="00D11DBA"/>
    <w:rsid w:val="00D170B0"/>
    <w:rsid w:val="00D17B77"/>
    <w:rsid w:val="00D31DDA"/>
    <w:rsid w:val="00D34E26"/>
    <w:rsid w:val="00D53B3D"/>
    <w:rsid w:val="00D60EAA"/>
    <w:rsid w:val="00D61366"/>
    <w:rsid w:val="00D63EEF"/>
    <w:rsid w:val="00D70BD8"/>
    <w:rsid w:val="00D714AC"/>
    <w:rsid w:val="00D72FA7"/>
    <w:rsid w:val="00D74F7F"/>
    <w:rsid w:val="00D76514"/>
    <w:rsid w:val="00D842BF"/>
    <w:rsid w:val="00D84B9B"/>
    <w:rsid w:val="00D84ED3"/>
    <w:rsid w:val="00D95543"/>
    <w:rsid w:val="00DA4FA1"/>
    <w:rsid w:val="00DA510A"/>
    <w:rsid w:val="00DB1092"/>
    <w:rsid w:val="00DB22A6"/>
    <w:rsid w:val="00DB66C8"/>
    <w:rsid w:val="00DC3F05"/>
    <w:rsid w:val="00DC62EE"/>
    <w:rsid w:val="00DE282B"/>
    <w:rsid w:val="00DE7826"/>
    <w:rsid w:val="00DF777B"/>
    <w:rsid w:val="00E0319B"/>
    <w:rsid w:val="00E12B2C"/>
    <w:rsid w:val="00E237FB"/>
    <w:rsid w:val="00E36684"/>
    <w:rsid w:val="00E402C1"/>
    <w:rsid w:val="00E43D5F"/>
    <w:rsid w:val="00E47CD6"/>
    <w:rsid w:val="00E56162"/>
    <w:rsid w:val="00E566DE"/>
    <w:rsid w:val="00E56EC9"/>
    <w:rsid w:val="00E8232A"/>
    <w:rsid w:val="00E90B6B"/>
    <w:rsid w:val="00E96F6E"/>
    <w:rsid w:val="00EA0EB6"/>
    <w:rsid w:val="00EA33F1"/>
    <w:rsid w:val="00EA7860"/>
    <w:rsid w:val="00EB5594"/>
    <w:rsid w:val="00EC6E52"/>
    <w:rsid w:val="00ED1C85"/>
    <w:rsid w:val="00EF05EA"/>
    <w:rsid w:val="00EF0D58"/>
    <w:rsid w:val="00F02F7A"/>
    <w:rsid w:val="00F10F70"/>
    <w:rsid w:val="00F1347C"/>
    <w:rsid w:val="00F239C0"/>
    <w:rsid w:val="00F25655"/>
    <w:rsid w:val="00F34FFE"/>
    <w:rsid w:val="00F428D1"/>
    <w:rsid w:val="00F440EF"/>
    <w:rsid w:val="00F47564"/>
    <w:rsid w:val="00F553E7"/>
    <w:rsid w:val="00F66F04"/>
    <w:rsid w:val="00F70AB8"/>
    <w:rsid w:val="00F721DD"/>
    <w:rsid w:val="00F77F01"/>
    <w:rsid w:val="00F831EB"/>
    <w:rsid w:val="00F9449E"/>
    <w:rsid w:val="00F95FAB"/>
    <w:rsid w:val="00F96519"/>
    <w:rsid w:val="00FA0CED"/>
    <w:rsid w:val="00FA64DD"/>
    <w:rsid w:val="00FB29F3"/>
    <w:rsid w:val="00FB3118"/>
    <w:rsid w:val="00FB52BC"/>
    <w:rsid w:val="00FB6B8B"/>
    <w:rsid w:val="00FB70AB"/>
    <w:rsid w:val="00FC55DD"/>
    <w:rsid w:val="00FC65AC"/>
    <w:rsid w:val="00FC736A"/>
    <w:rsid w:val="00FD3779"/>
    <w:rsid w:val="00FD3864"/>
    <w:rsid w:val="00FD4CC0"/>
    <w:rsid w:val="00FD62E7"/>
    <w:rsid w:val="00FF1C96"/>
    <w:rsid w:val="00FF42DA"/>
    <w:rsid w:val="00FF4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EC21F"/>
  <w15:docId w15:val="{CD514AF7-55A1-4D18-A3DA-7D4BA7A09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07F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07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7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E7826"/>
    <w:rPr>
      <w:color w:val="0000FF"/>
      <w:u w:val="single"/>
    </w:rPr>
  </w:style>
  <w:style w:type="paragraph" w:styleId="ListParagraph">
    <w:name w:val="List Paragraph"/>
    <w:aliases w:val="Bullet List,FooterText,List Paragraph1,Colorful List - Accent 11,numbered,Paragraphe de liste1,列出段落,列出段落1,Bulletr List Paragraph,List Paragraph2,List Paragraph21,Párrafo de lista1,Parágrafo da Lista1,リスト段落1,Plan,Dot pt,F5 List Paragraph"/>
    <w:basedOn w:val="Normal"/>
    <w:link w:val="ListParagraphChar"/>
    <w:uiPriority w:val="34"/>
    <w:qFormat/>
    <w:rsid w:val="00D17B7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407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6F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239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oc-ti">
    <w:name w:val="doc-ti"/>
    <w:basedOn w:val="Normal"/>
    <w:rsid w:val="00CE4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FD37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D377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D3779"/>
    <w:rPr>
      <w:sz w:val="16"/>
      <w:szCs w:val="16"/>
    </w:rPr>
  </w:style>
  <w:style w:type="character" w:customStyle="1" w:styleId="ListParagraphChar">
    <w:name w:val="List Paragraph Char"/>
    <w:aliases w:val="Bullet List Char,FooterText Char,List Paragraph1 Char,Colorful List - Accent 11 Char,numbered Char,Paragraphe de liste1 Char,列出段落 Char,列出段落1 Char,Bulletr List Paragraph Char,List Paragraph2 Char,List Paragraph21 Char,リスト段落1 Char"/>
    <w:link w:val="ListParagraph"/>
    <w:uiPriority w:val="34"/>
    <w:qFormat/>
    <w:locked/>
    <w:rsid w:val="00BE224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71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71C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0306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00351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56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50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35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78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760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43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71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78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1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84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5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0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48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772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EAEAEA"/>
                                <w:left w:val="none" w:sz="0" w:space="0" w:color="EAEAEA"/>
                                <w:bottom w:val="single" w:sz="6" w:space="15" w:color="EAEAEA"/>
                                <w:right w:val="none" w:sz="0" w:space="0" w:color="EAEAEA"/>
                              </w:divBdr>
                              <w:divsChild>
                                <w:div w:id="644512221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304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652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3032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2211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9542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6383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6222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679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25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BD60E-9D05-409D-92CC-B1C7891F8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1084</Words>
  <Characters>6184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n0ak95</Company>
  <LinksUpToDate>false</LinksUpToDate>
  <CharactersWithSpaces>7254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Tanya Petrova</cp:lastModifiedBy>
  <cp:revision>2</cp:revision>
  <cp:lastPrinted>2021-04-26T09:49:00Z</cp:lastPrinted>
  <dcterms:created xsi:type="dcterms:W3CDTF">2025-05-30T06:48:00Z</dcterms:created>
  <dcterms:modified xsi:type="dcterms:W3CDTF">2025-05-30T06:48:00Z</dcterms:modified>
</cp:coreProperties>
</file>