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AC" w:rsidRPr="00CB2A41" w:rsidRDefault="00CB2A41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DD585C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2.4</w:t>
      </w:r>
    </w:p>
    <w:p w:rsidR="00F96D4F" w:rsidRPr="009040A1" w:rsidRDefault="002B143B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eastAsia="en-GB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eastAsia="en-GB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proofErr w:type="gramStart"/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  <w:proofErr w:type="gramEnd"/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364EB5" w:rsidRDefault="004A3D26" w:rsidP="007D3AAE">
      <w:pPr>
        <w:spacing w:after="120"/>
        <w:jc w:val="center"/>
        <w:rPr>
          <w:b/>
          <w:sz w:val="36"/>
          <w:szCs w:val="36"/>
          <w:lang w:val="bg-BG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>ОПИС НА СКАНИРАНИТЕ ДОКУМЕНТИ ПРИ ПРОВЕДЕНА ПРОЦЕДУРА НА ДОГОВАРЯНЕ БЕЗ ОБЯВЛЕНИЕ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</w:t>
      </w:r>
      <w:proofErr w:type="gramStart"/>
      <w:r>
        <w:rPr>
          <w:b/>
          <w:lang w:val="bg-BG"/>
        </w:rPr>
        <w:t>поръчка</w:t>
      </w:r>
      <w:proofErr w:type="gramEnd"/>
    </w:p>
    <w:p w:rsidR="0036525E" w:rsidRPr="0068595E" w:rsidRDefault="0036525E" w:rsidP="0036525E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proofErr w:type="gramStart"/>
            <w:r w:rsidRPr="0036525E">
              <w:rPr>
                <w:b/>
                <w:lang w:val="bg-BG"/>
              </w:rPr>
              <w:t>от</w:t>
            </w:r>
            <w:proofErr w:type="gramEnd"/>
            <w:r w:rsidRPr="0036525E">
              <w:rPr>
                <w:b/>
                <w:lang w:val="bg-BG"/>
              </w:rPr>
              <w:t xml:space="preserve">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Диск със сканирана цялата тръжна документация от проведената процедура на договаряне без обявление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AA144B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="00BD662A" w:rsidRPr="00364EB5">
              <w:rPr>
                <w:lang w:val="bg-BG"/>
              </w:rPr>
              <w:t xml:space="preserve"> (</w:t>
            </w:r>
            <w:r w:rsidR="00A569BC">
              <w:rPr>
                <w:lang w:val="bg-BG"/>
              </w:rPr>
              <w:t xml:space="preserve">Приложение </w:t>
            </w:r>
            <w:r>
              <w:rPr>
                <w:lang w:val="bg-BG"/>
              </w:rPr>
              <w:t>122_</w:t>
            </w:r>
            <w:r w:rsidR="00A569BC">
              <w:rPr>
                <w:lang w:val="bg-BG"/>
              </w:rPr>
              <w:t>1.1 към Указанията</w:t>
            </w:r>
            <w:r w:rsidR="00BD662A" w:rsidRPr="00364EB5">
              <w:rPr>
                <w:lang w:val="bg-BG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6515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6515C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06515C" w:rsidRPr="00364EB5" w:rsidRDefault="0006515C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Покана за участие в процедурата</w:t>
            </w:r>
          </w:p>
        </w:tc>
        <w:tc>
          <w:tcPr>
            <w:tcW w:w="709" w:type="dxa"/>
            <w:noWrap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06515C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Документи, удостоверяващи изпращането на п</w:t>
            </w:r>
            <w:r w:rsidR="00E00021" w:rsidRPr="00364EB5">
              <w:rPr>
                <w:lang w:val="bg-BG"/>
              </w:rPr>
              <w:t>окани до избраните лица и до Агенцията по обществени поръчки, с изключение на случаите по чл. 90, ал. 1, т. 11 и 12 от ЗОП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за осигуряването на необходимата публичност съгласно разпоредбите по чл. 22б от ЗОП</w:t>
            </w:r>
            <w:r w:rsidR="00D71D00" w:rsidRPr="00364EB5">
              <w:rPr>
                <w:lang w:val="bg-BG"/>
              </w:rPr>
              <w:t xml:space="preserve"> </w:t>
            </w:r>
            <w:r w:rsidR="00D71D00" w:rsidRPr="00364EB5">
              <w:rPr>
                <w:b/>
                <w:i/>
                <w:lang w:val="bg-BG"/>
              </w:rPr>
              <w:t>(</w:t>
            </w:r>
            <w:r w:rsidR="00D71D00" w:rsidRPr="00364EB5">
              <w:rPr>
                <w:i/>
                <w:lang w:val="bg-BG"/>
              </w:rPr>
              <w:t>Ако е приложимо в зависимост редакцията на ЗОП действаща към момента на стартиране на процедурата</w:t>
            </w:r>
            <w:r w:rsidR="00D71D00" w:rsidRPr="00364EB5">
              <w:rPr>
                <w:b/>
                <w:i/>
                <w:lang w:val="bg-BG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Документация за участие, в което е извършено пълно описание на обекта на поръчката.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lastRenderedPageBreak/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7143F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7143F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10</w:t>
            </w:r>
          </w:p>
        </w:tc>
        <w:tc>
          <w:tcPr>
            <w:tcW w:w="6558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Методика с показатели, относителната им тежест и начина на изчисляване на комплексната </w:t>
            </w:r>
            <w:proofErr w:type="gramStart"/>
            <w:r w:rsidRPr="00364EB5">
              <w:rPr>
                <w:lang w:val="bg-BG"/>
              </w:rPr>
              <w:t>оценка на офертите, в случай че критерият за оценка</w:t>
            </w:r>
            <w:proofErr w:type="gramEnd"/>
            <w:r w:rsidRPr="00364EB5">
              <w:rPr>
                <w:lang w:val="bg-BG"/>
              </w:rPr>
              <w:t xml:space="preserve"> е икономически най-изгодна оферта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7143F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7143F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11</w:t>
            </w:r>
          </w:p>
        </w:tc>
        <w:tc>
          <w:tcPr>
            <w:tcW w:w="6558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Проект на договор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CD0EC6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CD0EC6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CD0EC6">
              <w:rPr>
                <w:lang w:val="bg-BG"/>
              </w:rPr>
              <w:t>12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CD0EC6" w:rsidRDefault="00071A98" w:rsidP="00364EB5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възложителя с данни за лицата, закупили документация </w:t>
            </w:r>
            <w:r w:rsidRPr="00CD0EC6">
              <w:rPr>
                <w:b/>
                <w:i/>
                <w:lang w:val="bg-BG"/>
              </w:rPr>
              <w:t>(</w:t>
            </w:r>
            <w:r w:rsidRPr="00CD0EC6">
              <w:rPr>
                <w:i/>
                <w:lang w:val="bg-BG"/>
              </w:rPr>
              <w:t>Ако е приложимо в зависимост редакцията на ЗОП действаща към момента на стартиране на процедурата</w:t>
            </w:r>
            <w:r w:rsidRPr="00CD0EC6">
              <w:rPr>
                <w:b/>
                <w:i/>
                <w:lang w:val="bg-BG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071A98" w:rsidRPr="00CD0EC6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CD0EC6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CD0EC6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Подадени писмени запитвания от участниците до възложителя за допълнителни разяснения </w:t>
            </w:r>
            <w:proofErr w:type="gramStart"/>
            <w:r w:rsidRPr="00364EB5">
              <w:rPr>
                <w:lang w:val="bg-BG"/>
              </w:rPr>
              <w:t>относно</w:t>
            </w:r>
            <w:proofErr w:type="gramEnd"/>
            <w:r w:rsidRPr="00364EB5">
              <w:rPr>
                <w:lang w:val="bg-BG"/>
              </w:rPr>
              <w:t xml:space="preserve"> документацията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14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15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16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Доказателства, че до лицата, които са посочили електронен адрес, са изпратени разяснения по документацията в деня на публикуването им в профила на купувача</w:t>
            </w:r>
            <w:proofErr w:type="gramStart"/>
            <w:r w:rsidRPr="00364EB5">
              <w:rPr>
                <w:lang w:val="bg-BG"/>
              </w:rPr>
              <w:t>, като в</w:t>
            </w:r>
            <w:proofErr w:type="gramEnd"/>
            <w:r w:rsidRPr="00364EB5">
              <w:rPr>
                <w:lang w:val="bg-BG"/>
              </w:rPr>
              <w:t xml:space="preserve"> разясненията не се посочва информация за лицата, които са ги поискали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Извлечение от деловодната система/регистър на възложителя с данни за получените заявления/оферти в процедурата.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18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Заповед на Възложителя за назначаване на комисия за провеждане на процедура за обществена поръчка съгласно чл. 34-36 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19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Декларации от всички членове на Комисията за провеждане на процедура за обществена поръчка, съгласно чл. 35 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Протоколи за направените предложения и постигнатите договорености от договарянето с всеки един участник, подписан от членовете на комисията и от участника.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21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Заявленията/офертите на всички участници в процедурата</w:t>
            </w:r>
          </w:p>
        </w:tc>
        <w:tc>
          <w:tcPr>
            <w:tcW w:w="709" w:type="dxa"/>
            <w:noWrap/>
            <w:vAlign w:val="center"/>
          </w:tcPr>
          <w:p w:rsidR="00071A98" w:rsidRPr="00BB595C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BB595C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22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кандидатите.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23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424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24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за изпращане на решението за класиране и доклада по чл</w:t>
            </w:r>
            <w:proofErr w:type="gramStart"/>
            <w:r w:rsidRPr="00364EB5">
              <w:rPr>
                <w:lang w:val="bg-BG"/>
              </w:rPr>
              <w:t>. 92а</w:t>
            </w:r>
            <w:proofErr w:type="gramEnd"/>
            <w:r w:rsidRPr="00364EB5">
              <w:rPr>
                <w:lang w:val="bg-BG"/>
              </w:rPr>
              <w:t>, ал. 5 от ЗОП до всички участници в тридневен срок от издаването му, съгласно чл. 92а, ал. 6 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lastRenderedPageBreak/>
              <w:t>25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свързани публикуването на решението за определяне на изпълнител и доклада по чл</w:t>
            </w:r>
            <w:proofErr w:type="gramStart"/>
            <w:r w:rsidRPr="00364EB5">
              <w:rPr>
                <w:lang w:val="bg-BG"/>
              </w:rPr>
              <w:t>. 92а</w:t>
            </w:r>
            <w:proofErr w:type="gramEnd"/>
            <w:r w:rsidRPr="00364EB5">
              <w:rPr>
                <w:lang w:val="bg-BG"/>
              </w:rPr>
              <w:t>, ал. 5 в профила купувача, съгласно чл. 92а, ал. 6 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26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Писмено искане от участник за осигуряване на достъп до протокола от работата на комисията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8124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A81241" w:rsidRPr="00364EB5" w:rsidRDefault="00A81241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27</w:t>
            </w:r>
          </w:p>
        </w:tc>
        <w:tc>
          <w:tcPr>
            <w:tcW w:w="6558" w:type="dxa"/>
            <w:noWrap/>
            <w:vAlign w:val="center"/>
            <w:hideMark/>
          </w:tcPr>
          <w:p w:rsidR="00A81241" w:rsidRPr="00280203" w:rsidRDefault="00A81241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</w:t>
            </w:r>
            <w:proofErr w:type="spellStart"/>
            <w:r>
              <w:rPr>
                <w:lang w:val="bg-BG"/>
              </w:rPr>
              <w:t>ци</w:t>
            </w:r>
            <w:proofErr w:type="spellEnd"/>
            <w:r w:rsidRPr="00280203">
              <w:rPr>
                <w:lang w:val="bg-BG"/>
              </w:rPr>
              <w:t xml:space="preserve"> </w:t>
            </w:r>
            <w:proofErr w:type="gramStart"/>
            <w:r w:rsidRPr="00280203">
              <w:rPr>
                <w:lang w:val="bg-BG"/>
              </w:rPr>
              <w:t>относно</w:t>
            </w:r>
            <w:proofErr w:type="gramEnd"/>
            <w:r w:rsidRPr="00280203">
              <w:rPr>
                <w:lang w:val="bg-BG"/>
              </w:rPr>
              <w:t xml:space="preserve">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A81241" w:rsidRPr="00364EB5" w:rsidRDefault="00A8124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A81241" w:rsidRPr="00364EB5" w:rsidRDefault="00A8124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81241" w:rsidRPr="00364EB5" w:rsidRDefault="00A8124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569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28</w:t>
            </w:r>
          </w:p>
        </w:tc>
        <w:tc>
          <w:tcPr>
            <w:tcW w:w="6558" w:type="dxa"/>
            <w:noWrap/>
            <w:vAlign w:val="center"/>
            <w:hideMark/>
          </w:tcPr>
          <w:p w:rsidR="00A569BC" w:rsidRPr="00280203" w:rsidRDefault="00A569BC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569BC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29</w:t>
            </w:r>
          </w:p>
        </w:tc>
        <w:tc>
          <w:tcPr>
            <w:tcW w:w="6558" w:type="dxa"/>
            <w:noWrap/>
            <w:vAlign w:val="center"/>
            <w:hideMark/>
          </w:tcPr>
          <w:p w:rsidR="00A569BC" w:rsidRPr="00280203" w:rsidRDefault="00A569BC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569BC" w:rsidRPr="00364EB5" w:rsidRDefault="00A569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b/>
                <w:lang w:val="bg-BG"/>
              </w:rPr>
            </w:pPr>
            <w:r w:rsidRPr="00364EB5">
              <w:rPr>
                <w:lang w:val="bg-BG"/>
              </w:rPr>
              <w:t xml:space="preserve">Обзорна таблица </w:t>
            </w:r>
            <w:r w:rsidRPr="00364EB5">
              <w:rPr>
                <w:lang w:val="en-US"/>
              </w:rPr>
              <w:t>/</w:t>
            </w:r>
            <w:r w:rsidRPr="00364EB5">
              <w:rPr>
                <w:lang w:val="bg-BG"/>
              </w:rPr>
              <w:t xml:space="preserve">по Образец/ </w:t>
            </w:r>
            <w:r w:rsidRPr="00364EB5">
              <w:rPr>
                <w:i/>
                <w:lang w:val="bg-BG"/>
              </w:rPr>
              <w:t>- при</w:t>
            </w:r>
            <w:r w:rsidRPr="00364EB5">
              <w:rPr>
                <w:i/>
              </w:rPr>
              <w:t xml:space="preserve"> </w:t>
            </w:r>
            <w:r w:rsidRPr="00364EB5">
              <w:rPr>
                <w:i/>
                <w:lang w:val="bg-BG"/>
              </w:rPr>
              <w:t>ОП с избран критерий за оценка "икономически най-изгодна оферта"</w:t>
            </w:r>
            <w:bookmarkStart w:id="0" w:name="_GoBack"/>
            <w:bookmarkEnd w:id="0"/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31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Доказателство относно наличието на обстоятелствата по </w:t>
            </w:r>
            <w:proofErr w:type="gramStart"/>
            <w:r w:rsidRPr="00364EB5">
              <w:rPr>
                <w:lang w:val="bg-BG"/>
              </w:rPr>
              <w:t>чл.74</w:t>
            </w:r>
            <w:proofErr w:type="gramEnd"/>
            <w:r w:rsidRPr="00364EB5">
              <w:rPr>
                <w:lang w:val="bg-BG"/>
              </w:rPr>
              <w:t>, ал. 2, т. 1-3, когато договорът за ОП е сключен с класирания на второ място участник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ind w:left="71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удостоверяващо, че към момента на сключване на договора, валидността на офертата на участника, определен за изпълнител, не е изтекла.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33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Договор, сключен между Възложителя и избрания изпълнител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34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съответствие с изискването по чл. 25, ал. 3, т. 2 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35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изпълнител, издадени от компетентен орган, за удостоверяване липсата на обстоятелства съгласно чл. 47, ал. 10 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36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Документ за </w:t>
            </w:r>
            <w:proofErr w:type="gramStart"/>
            <w:r w:rsidRPr="00364EB5">
              <w:rPr>
                <w:lang w:val="bg-BG"/>
              </w:rPr>
              <w:t>гаранция за изпълнение на договора - банкова гаранция</w:t>
            </w:r>
            <w:proofErr w:type="gramEnd"/>
            <w:r w:rsidRPr="00364EB5">
              <w:rPr>
                <w:lang w:val="bg-BG"/>
              </w:rPr>
              <w:t xml:space="preserve">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25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извършена регистрация или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процедурата.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25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38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Количествено-стойностни сметки, подписани и подпечатани от избрания изпълнител като неразделна част от договора, както и КСС на електронен носител (xls/xlsx формат), когато е приложимо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570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39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Изпратена информация за сключен Договор за </w:t>
            </w:r>
            <w:proofErr w:type="gramStart"/>
            <w:r w:rsidRPr="00364EB5">
              <w:rPr>
                <w:lang w:val="bg-BG"/>
              </w:rPr>
              <w:t>обществена поръчка до АОП за вписването му в Регистъра на обществените</w:t>
            </w:r>
            <w:proofErr w:type="gramEnd"/>
            <w:r w:rsidRPr="00364EB5">
              <w:rPr>
                <w:lang w:val="bg-BG"/>
              </w:rPr>
              <w:t xml:space="preserve"> поръчки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64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40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Становище на АОП </w:t>
            </w:r>
            <w:proofErr w:type="gramStart"/>
            <w:r w:rsidRPr="00364EB5">
              <w:rPr>
                <w:lang w:val="bg-BG"/>
              </w:rPr>
              <w:t>относно</w:t>
            </w:r>
            <w:proofErr w:type="gramEnd"/>
            <w:r w:rsidRPr="00364EB5">
              <w:rPr>
                <w:lang w:val="bg-BG"/>
              </w:rPr>
              <w:t xml:space="preserve"> осъществен предварителен контрол на решенията за откриване на процедури на договаряне без обявление на основание чл. 90, ал. 1, т. 3 – 9 и т. 12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41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по чл. 19, ал. 2, т. 24 от ЗОП, когато становището на АОП не е "Изборът на процедура е законосъобразен"</w:t>
            </w:r>
          </w:p>
        </w:tc>
        <w:tc>
          <w:tcPr>
            <w:tcW w:w="709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</w:t>
      </w:r>
      <w:proofErr w:type="gramStart"/>
      <w:r w:rsidRPr="0068595E">
        <w:t>адрес:.....................................................</w:t>
      </w:r>
      <w:proofErr w:type="gramEnd"/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Представляващ </w:t>
      </w:r>
      <w:proofErr w:type="gramStart"/>
      <w:r>
        <w:rPr>
          <w:lang w:val="bg-BG"/>
        </w:rPr>
        <w:t>възложителя</w:t>
      </w:r>
      <w:r w:rsidRPr="00915E71">
        <w:rPr>
          <w:lang w:val="bg-BG"/>
        </w:rPr>
        <w:t>:</w:t>
      </w:r>
      <w:proofErr w:type="gramEnd"/>
      <w:r w:rsidRPr="00915E71">
        <w:rPr>
          <w:lang w:val="bg-BG"/>
        </w:rPr>
        <w:tab/>
      </w:r>
      <w:proofErr w:type="gramStart"/>
      <w:r w:rsidRPr="001C6E5B">
        <w:rPr>
          <w:i/>
          <w:color w:val="A6A6A6"/>
          <w:lang w:val="bg-BG"/>
        </w:rPr>
        <w:t>подпис</w:t>
      </w:r>
      <w:proofErr w:type="gramEnd"/>
      <w:r w:rsidRPr="001C6E5B">
        <w:rPr>
          <w:i/>
          <w:color w:val="A6A6A6"/>
          <w:lang w:val="bg-BG"/>
        </w:rPr>
        <w:t xml:space="preserve">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>
        <w:rPr>
          <w:lang w:val="bg-BG"/>
        </w:rPr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  <w:proofErr w:type="gramEnd"/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 w:rsidRPr="00244BDD">
        <w:rPr>
          <w:i/>
          <w:color w:val="A6A6A6"/>
          <w:lang w:val="bg-BG"/>
        </w:rPr>
        <w:t>трите</w:t>
      </w:r>
      <w:proofErr w:type="gramEnd"/>
      <w:r w:rsidRPr="00244BDD">
        <w:rPr>
          <w:i/>
          <w:color w:val="A6A6A6"/>
          <w:lang w:val="bg-BG"/>
        </w:rPr>
        <w:t xml:space="preserve">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footerReference w:type="default" r:id="rId9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058" w:rsidRDefault="004A4058">
      <w:r>
        <w:separator/>
      </w:r>
    </w:p>
  </w:endnote>
  <w:endnote w:type="continuationSeparator" w:id="0">
    <w:p w:rsidR="004A4058" w:rsidRDefault="004A4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AAD" w:rsidRDefault="00D37093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2B143B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058" w:rsidRDefault="004A4058">
      <w:r>
        <w:separator/>
      </w:r>
    </w:p>
  </w:footnote>
  <w:footnote w:type="continuationSeparator" w:id="0">
    <w:p w:rsidR="004A4058" w:rsidRDefault="004A4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23D5D"/>
    <w:rsid w:val="00026467"/>
    <w:rsid w:val="000301B3"/>
    <w:rsid w:val="00033BAD"/>
    <w:rsid w:val="00033E6D"/>
    <w:rsid w:val="00037D8E"/>
    <w:rsid w:val="00046FB0"/>
    <w:rsid w:val="00052FAA"/>
    <w:rsid w:val="0006515C"/>
    <w:rsid w:val="00067CA6"/>
    <w:rsid w:val="00071A98"/>
    <w:rsid w:val="00072F4D"/>
    <w:rsid w:val="00074312"/>
    <w:rsid w:val="00081F78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1754C"/>
    <w:rsid w:val="00120A4A"/>
    <w:rsid w:val="00130980"/>
    <w:rsid w:val="001357EB"/>
    <w:rsid w:val="00142249"/>
    <w:rsid w:val="0016215E"/>
    <w:rsid w:val="00163CC4"/>
    <w:rsid w:val="001F6E2A"/>
    <w:rsid w:val="0020572C"/>
    <w:rsid w:val="0021090D"/>
    <w:rsid w:val="00232CAC"/>
    <w:rsid w:val="00240990"/>
    <w:rsid w:val="00243DA7"/>
    <w:rsid w:val="00250296"/>
    <w:rsid w:val="00251668"/>
    <w:rsid w:val="002524E6"/>
    <w:rsid w:val="002577CD"/>
    <w:rsid w:val="00257802"/>
    <w:rsid w:val="002B143B"/>
    <w:rsid w:val="002B612A"/>
    <w:rsid w:val="002C4D3A"/>
    <w:rsid w:val="002D0C00"/>
    <w:rsid w:val="002D4C07"/>
    <w:rsid w:val="002E6380"/>
    <w:rsid w:val="002F267A"/>
    <w:rsid w:val="002F6F20"/>
    <w:rsid w:val="00310CC9"/>
    <w:rsid w:val="00314312"/>
    <w:rsid w:val="0032685B"/>
    <w:rsid w:val="00334022"/>
    <w:rsid w:val="00336523"/>
    <w:rsid w:val="00353157"/>
    <w:rsid w:val="00360195"/>
    <w:rsid w:val="00364EB5"/>
    <w:rsid w:val="0036525E"/>
    <w:rsid w:val="003710DF"/>
    <w:rsid w:val="00385ED7"/>
    <w:rsid w:val="00387AB4"/>
    <w:rsid w:val="00397772"/>
    <w:rsid w:val="003B3564"/>
    <w:rsid w:val="003C61A2"/>
    <w:rsid w:val="003C6FF3"/>
    <w:rsid w:val="003C78A6"/>
    <w:rsid w:val="003D42B9"/>
    <w:rsid w:val="003E0969"/>
    <w:rsid w:val="003E39EE"/>
    <w:rsid w:val="003F2913"/>
    <w:rsid w:val="00411BF6"/>
    <w:rsid w:val="004217D0"/>
    <w:rsid w:val="004322D3"/>
    <w:rsid w:val="00434653"/>
    <w:rsid w:val="0043501B"/>
    <w:rsid w:val="00436D3B"/>
    <w:rsid w:val="00445CC1"/>
    <w:rsid w:val="00451A95"/>
    <w:rsid w:val="00465D64"/>
    <w:rsid w:val="004669EE"/>
    <w:rsid w:val="00472F9F"/>
    <w:rsid w:val="00484BFA"/>
    <w:rsid w:val="00484EF7"/>
    <w:rsid w:val="00486BB5"/>
    <w:rsid w:val="004904D5"/>
    <w:rsid w:val="004940C1"/>
    <w:rsid w:val="004A35EF"/>
    <w:rsid w:val="004A3D26"/>
    <w:rsid w:val="004A4058"/>
    <w:rsid w:val="004B116A"/>
    <w:rsid w:val="004B132D"/>
    <w:rsid w:val="004C6896"/>
    <w:rsid w:val="004E1ACF"/>
    <w:rsid w:val="004E63B3"/>
    <w:rsid w:val="004E64EB"/>
    <w:rsid w:val="004F1933"/>
    <w:rsid w:val="004F1A4C"/>
    <w:rsid w:val="005006A9"/>
    <w:rsid w:val="005023B7"/>
    <w:rsid w:val="005038FA"/>
    <w:rsid w:val="005075A8"/>
    <w:rsid w:val="00510A2B"/>
    <w:rsid w:val="00514266"/>
    <w:rsid w:val="00515E19"/>
    <w:rsid w:val="005172E0"/>
    <w:rsid w:val="00517F65"/>
    <w:rsid w:val="00520E82"/>
    <w:rsid w:val="00532D8C"/>
    <w:rsid w:val="00551150"/>
    <w:rsid w:val="00551DDA"/>
    <w:rsid w:val="00561E01"/>
    <w:rsid w:val="005632E3"/>
    <w:rsid w:val="005740A6"/>
    <w:rsid w:val="0058020B"/>
    <w:rsid w:val="00590776"/>
    <w:rsid w:val="0059086B"/>
    <w:rsid w:val="00593E18"/>
    <w:rsid w:val="005A29C8"/>
    <w:rsid w:val="005A56ED"/>
    <w:rsid w:val="005B4D30"/>
    <w:rsid w:val="005C427C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6C28"/>
    <w:rsid w:val="00631EF3"/>
    <w:rsid w:val="006557F5"/>
    <w:rsid w:val="00666AAA"/>
    <w:rsid w:val="00672B7B"/>
    <w:rsid w:val="00696555"/>
    <w:rsid w:val="006B1B7A"/>
    <w:rsid w:val="006B636E"/>
    <w:rsid w:val="006C6A65"/>
    <w:rsid w:val="006C7ECC"/>
    <w:rsid w:val="006D15AD"/>
    <w:rsid w:val="006E3462"/>
    <w:rsid w:val="006E56F8"/>
    <w:rsid w:val="006F78D8"/>
    <w:rsid w:val="00702C6F"/>
    <w:rsid w:val="0070748E"/>
    <w:rsid w:val="00727CC2"/>
    <w:rsid w:val="00730039"/>
    <w:rsid w:val="007438AE"/>
    <w:rsid w:val="00747D66"/>
    <w:rsid w:val="0077073E"/>
    <w:rsid w:val="007835C1"/>
    <w:rsid w:val="00783EF8"/>
    <w:rsid w:val="00784DD1"/>
    <w:rsid w:val="007A01D5"/>
    <w:rsid w:val="007D209F"/>
    <w:rsid w:val="007D2D21"/>
    <w:rsid w:val="007D3AAE"/>
    <w:rsid w:val="007E7137"/>
    <w:rsid w:val="007F38EC"/>
    <w:rsid w:val="00800705"/>
    <w:rsid w:val="00802261"/>
    <w:rsid w:val="00807DEE"/>
    <w:rsid w:val="0081454E"/>
    <w:rsid w:val="00815F15"/>
    <w:rsid w:val="008238C5"/>
    <w:rsid w:val="0082778D"/>
    <w:rsid w:val="00836926"/>
    <w:rsid w:val="00842389"/>
    <w:rsid w:val="00851B9C"/>
    <w:rsid w:val="0085365F"/>
    <w:rsid w:val="00856FD0"/>
    <w:rsid w:val="00861F66"/>
    <w:rsid w:val="00864F25"/>
    <w:rsid w:val="008724AB"/>
    <w:rsid w:val="00880C4E"/>
    <w:rsid w:val="00884B96"/>
    <w:rsid w:val="00893AFB"/>
    <w:rsid w:val="008948A3"/>
    <w:rsid w:val="008A16B7"/>
    <w:rsid w:val="008A3852"/>
    <w:rsid w:val="008A52B4"/>
    <w:rsid w:val="008B3FA5"/>
    <w:rsid w:val="008C4703"/>
    <w:rsid w:val="008E5C82"/>
    <w:rsid w:val="008E7282"/>
    <w:rsid w:val="008F2F6F"/>
    <w:rsid w:val="00901002"/>
    <w:rsid w:val="009040A1"/>
    <w:rsid w:val="00912474"/>
    <w:rsid w:val="00915EA2"/>
    <w:rsid w:val="00917A28"/>
    <w:rsid w:val="009549C6"/>
    <w:rsid w:val="00954E52"/>
    <w:rsid w:val="00956AAD"/>
    <w:rsid w:val="0097143F"/>
    <w:rsid w:val="00982AEB"/>
    <w:rsid w:val="00983F94"/>
    <w:rsid w:val="00994A0E"/>
    <w:rsid w:val="00994A94"/>
    <w:rsid w:val="009963C9"/>
    <w:rsid w:val="009A4B71"/>
    <w:rsid w:val="009B7FEE"/>
    <w:rsid w:val="009C7973"/>
    <w:rsid w:val="009C7CD3"/>
    <w:rsid w:val="009D1EC1"/>
    <w:rsid w:val="009F3B2A"/>
    <w:rsid w:val="00A07B10"/>
    <w:rsid w:val="00A22699"/>
    <w:rsid w:val="00A32E2C"/>
    <w:rsid w:val="00A33A83"/>
    <w:rsid w:val="00A33EC9"/>
    <w:rsid w:val="00A569BC"/>
    <w:rsid w:val="00A64267"/>
    <w:rsid w:val="00A66AEB"/>
    <w:rsid w:val="00A75EF0"/>
    <w:rsid w:val="00A81241"/>
    <w:rsid w:val="00A81C24"/>
    <w:rsid w:val="00A96508"/>
    <w:rsid w:val="00AA144B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117DD"/>
    <w:rsid w:val="00B13F40"/>
    <w:rsid w:val="00B150D3"/>
    <w:rsid w:val="00B266CF"/>
    <w:rsid w:val="00B368B1"/>
    <w:rsid w:val="00B44513"/>
    <w:rsid w:val="00B54546"/>
    <w:rsid w:val="00B7477F"/>
    <w:rsid w:val="00B94DD4"/>
    <w:rsid w:val="00B97772"/>
    <w:rsid w:val="00B97F02"/>
    <w:rsid w:val="00BA0DD9"/>
    <w:rsid w:val="00BB255F"/>
    <w:rsid w:val="00BB2C6D"/>
    <w:rsid w:val="00BB595C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C45C58"/>
    <w:rsid w:val="00C607B2"/>
    <w:rsid w:val="00C60808"/>
    <w:rsid w:val="00C6405E"/>
    <w:rsid w:val="00CA16D4"/>
    <w:rsid w:val="00CB2A41"/>
    <w:rsid w:val="00CB4832"/>
    <w:rsid w:val="00CB61A3"/>
    <w:rsid w:val="00CC0401"/>
    <w:rsid w:val="00CD0EC6"/>
    <w:rsid w:val="00CD17CE"/>
    <w:rsid w:val="00CD38EC"/>
    <w:rsid w:val="00CD5741"/>
    <w:rsid w:val="00CD5BBB"/>
    <w:rsid w:val="00CF752C"/>
    <w:rsid w:val="00D1085A"/>
    <w:rsid w:val="00D12B52"/>
    <w:rsid w:val="00D20A7B"/>
    <w:rsid w:val="00D21029"/>
    <w:rsid w:val="00D244F8"/>
    <w:rsid w:val="00D30FD8"/>
    <w:rsid w:val="00D37093"/>
    <w:rsid w:val="00D432E8"/>
    <w:rsid w:val="00D46C5A"/>
    <w:rsid w:val="00D4727F"/>
    <w:rsid w:val="00D54A1A"/>
    <w:rsid w:val="00D71D00"/>
    <w:rsid w:val="00D75E70"/>
    <w:rsid w:val="00D8239F"/>
    <w:rsid w:val="00D96C9A"/>
    <w:rsid w:val="00DA475B"/>
    <w:rsid w:val="00DC08F2"/>
    <w:rsid w:val="00DC1793"/>
    <w:rsid w:val="00DC4C80"/>
    <w:rsid w:val="00DC4E42"/>
    <w:rsid w:val="00DD1A8B"/>
    <w:rsid w:val="00DD1E73"/>
    <w:rsid w:val="00DD585C"/>
    <w:rsid w:val="00DE77F0"/>
    <w:rsid w:val="00DF3849"/>
    <w:rsid w:val="00DF4178"/>
    <w:rsid w:val="00DF6D06"/>
    <w:rsid w:val="00DF7E9A"/>
    <w:rsid w:val="00E00021"/>
    <w:rsid w:val="00E02C8B"/>
    <w:rsid w:val="00E05485"/>
    <w:rsid w:val="00E10FA3"/>
    <w:rsid w:val="00E1365F"/>
    <w:rsid w:val="00E16E30"/>
    <w:rsid w:val="00E205D2"/>
    <w:rsid w:val="00E4383A"/>
    <w:rsid w:val="00E461DC"/>
    <w:rsid w:val="00E5089F"/>
    <w:rsid w:val="00E56047"/>
    <w:rsid w:val="00E65EF3"/>
    <w:rsid w:val="00E70F78"/>
    <w:rsid w:val="00E73C8C"/>
    <w:rsid w:val="00E8558D"/>
    <w:rsid w:val="00E90F6B"/>
    <w:rsid w:val="00E939B0"/>
    <w:rsid w:val="00E9657D"/>
    <w:rsid w:val="00EA753A"/>
    <w:rsid w:val="00EC16C0"/>
    <w:rsid w:val="00ED339A"/>
    <w:rsid w:val="00ED6F05"/>
    <w:rsid w:val="00EE23EB"/>
    <w:rsid w:val="00EE4A34"/>
    <w:rsid w:val="00EE7738"/>
    <w:rsid w:val="00EF0CC4"/>
    <w:rsid w:val="00EF2CA8"/>
    <w:rsid w:val="00F13421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DE8"/>
    <w:rsid w:val="00F670B0"/>
    <w:rsid w:val="00F7323F"/>
    <w:rsid w:val="00F77233"/>
    <w:rsid w:val="00F8173F"/>
    <w:rsid w:val="00F85EED"/>
    <w:rsid w:val="00F96D4F"/>
    <w:rsid w:val="00FB0BC6"/>
    <w:rsid w:val="00FB2F37"/>
    <w:rsid w:val="00FB371D"/>
    <w:rsid w:val="00FB668F"/>
    <w:rsid w:val="00FC31DD"/>
    <w:rsid w:val="00FC3BDB"/>
    <w:rsid w:val="00FC6F18"/>
    <w:rsid w:val="00FC795F"/>
    <w:rsid w:val="00FD6CE6"/>
    <w:rsid w:val="00FD7C96"/>
    <w:rsid w:val="00FE0136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8C865-879B-4BA6-AE55-B8F6D673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881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12</cp:revision>
  <cp:lastPrinted>2012-07-23T16:15:00Z</cp:lastPrinted>
  <dcterms:created xsi:type="dcterms:W3CDTF">2016-10-21T09:07:00Z</dcterms:created>
  <dcterms:modified xsi:type="dcterms:W3CDTF">2017-01-06T14:56:00Z</dcterms:modified>
</cp:coreProperties>
</file>