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12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2014 - 2022</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14.1</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01/09/2022 - 16:13:27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Calibri" w:hAnsi="Calibr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Calibri" w:hAnsi="Calibr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Calibri" w:hAnsi="Calibr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Calibri" w:hAnsi="Calibr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Calibri" w:hAnsi="Calibr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Calibri" w:hAnsi="Calibr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13</w:t>
        </w:r>
        <w:r>
          <w:fldChar w:fldCharType="end"/>
        </w:r>
      </w:hyperlink>
    </w:p>
    <w:p>
      <w:pPr>
        <w:pStyle w:val="TOC1"/>
        <w:rPr>
          <w:rFonts w:ascii="Calibri" w:hAnsi="Calibr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17</w:t>
        </w:r>
        <w:r>
          <w:fldChar w:fldCharType="end"/>
        </w:r>
      </w:hyperlink>
    </w:p>
    <w:p>
      <w:pPr>
        <w:pStyle w:val="TOC2"/>
        <w:rPr>
          <w:rFonts w:ascii="Calibri" w:hAnsi="Calibr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17</w:t>
        </w:r>
        <w:r>
          <w:fldChar w:fldCharType="end"/>
        </w:r>
      </w:hyperlink>
    </w:p>
    <w:p>
      <w:pPr>
        <w:pStyle w:val="TOC2"/>
        <w:rPr>
          <w:rFonts w:ascii="Calibri" w:hAnsi="Calibr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17</w:t>
        </w:r>
        <w:r>
          <w:fldChar w:fldCharType="end"/>
        </w:r>
      </w:hyperlink>
    </w:p>
    <w:p>
      <w:pPr>
        <w:pStyle w:val="TOC1"/>
        <w:rPr>
          <w:rFonts w:ascii="Calibri" w:hAnsi="Calibr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18</w:t>
        </w:r>
        <w:r>
          <w:fldChar w:fldCharType="end"/>
        </w:r>
      </w:hyperlink>
    </w:p>
    <w:p>
      <w:pPr>
        <w:pStyle w:val="TOC2"/>
        <w:rPr>
          <w:rFonts w:ascii="Calibri" w:hAnsi="Calibr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18</w:t>
        </w:r>
        <w:r>
          <w:fldChar w:fldCharType="end"/>
        </w:r>
      </w:hyperlink>
    </w:p>
    <w:p>
      <w:pPr>
        <w:pStyle w:val="TOC2"/>
        <w:rPr>
          <w:rFonts w:ascii="Calibri" w:hAnsi="Calibr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20</w:t>
        </w:r>
        <w:r>
          <w:fldChar w:fldCharType="end"/>
        </w:r>
      </w:hyperlink>
    </w:p>
    <w:p>
      <w:pPr>
        <w:pStyle w:val="TOC3"/>
        <w:rPr>
          <w:rFonts w:ascii="Calibri" w:hAnsi="Calibr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21</w:t>
        </w:r>
        <w:r>
          <w:fldChar w:fldCharType="end"/>
        </w:r>
      </w:hyperlink>
    </w:p>
    <w:p>
      <w:pPr>
        <w:pStyle w:val="TOC3"/>
        <w:rPr>
          <w:rFonts w:ascii="Calibri" w:hAnsi="Calibr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22</w:t>
        </w:r>
        <w:r>
          <w:fldChar w:fldCharType="end"/>
        </w:r>
      </w:hyperlink>
    </w:p>
    <w:p>
      <w:pPr>
        <w:pStyle w:val="TOC3"/>
        <w:rPr>
          <w:rFonts w:ascii="Calibri" w:hAnsi="Calibr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22</w:t>
        </w:r>
        <w:r>
          <w:fldChar w:fldCharType="end"/>
        </w:r>
      </w:hyperlink>
    </w:p>
    <w:p>
      <w:pPr>
        <w:pStyle w:val="TOC3"/>
        <w:rPr>
          <w:rFonts w:ascii="Calibri" w:hAnsi="Calibr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23</w:t>
        </w:r>
        <w:r>
          <w:fldChar w:fldCharType="end"/>
        </w:r>
      </w:hyperlink>
    </w:p>
    <w:p>
      <w:pPr>
        <w:pStyle w:val="TOC3"/>
        <w:rPr>
          <w:rFonts w:ascii="Calibri" w:hAnsi="Calibr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23</w:t>
        </w:r>
        <w:r>
          <w:fldChar w:fldCharType="end"/>
        </w:r>
      </w:hyperlink>
    </w:p>
    <w:p>
      <w:pPr>
        <w:pStyle w:val="TOC3"/>
        <w:rPr>
          <w:rFonts w:ascii="Calibri" w:hAnsi="Calibr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24</w:t>
        </w:r>
        <w:r>
          <w:fldChar w:fldCharType="end"/>
        </w:r>
      </w:hyperlink>
    </w:p>
    <w:p>
      <w:pPr>
        <w:pStyle w:val="TOC3"/>
        <w:rPr>
          <w:rFonts w:ascii="Calibri" w:hAnsi="Calibr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24</w:t>
        </w:r>
        <w:r>
          <w:fldChar w:fldCharType="end"/>
        </w:r>
      </w:hyperlink>
    </w:p>
    <w:p>
      <w:pPr>
        <w:pStyle w:val="TOC3"/>
        <w:rPr>
          <w:rFonts w:ascii="Calibri" w:hAnsi="Calibr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25</w:t>
        </w:r>
        <w:r>
          <w:fldChar w:fldCharType="end"/>
        </w:r>
      </w:hyperlink>
    </w:p>
    <w:p>
      <w:pPr>
        <w:pStyle w:val="TOC3"/>
        <w:rPr>
          <w:rFonts w:ascii="Calibri" w:hAnsi="Calibr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25</w:t>
        </w:r>
        <w:r>
          <w:fldChar w:fldCharType="end"/>
        </w:r>
      </w:hyperlink>
    </w:p>
    <w:p>
      <w:pPr>
        <w:pStyle w:val="TOC3"/>
        <w:rPr>
          <w:rFonts w:ascii="Calibri" w:hAnsi="Calibr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26</w:t>
        </w:r>
        <w:r>
          <w:fldChar w:fldCharType="end"/>
        </w:r>
      </w:hyperlink>
    </w:p>
    <w:p>
      <w:pPr>
        <w:pStyle w:val="TOC3"/>
        <w:rPr>
          <w:rFonts w:ascii="Calibri" w:hAnsi="Calibr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26</w:t>
        </w:r>
        <w:r>
          <w:fldChar w:fldCharType="end"/>
        </w:r>
      </w:hyperlink>
    </w:p>
    <w:p>
      <w:pPr>
        <w:pStyle w:val="TOC3"/>
        <w:rPr>
          <w:rFonts w:ascii="Calibri" w:hAnsi="Calibr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27</w:t>
        </w:r>
        <w:r>
          <w:fldChar w:fldCharType="end"/>
        </w:r>
      </w:hyperlink>
    </w:p>
    <w:p>
      <w:pPr>
        <w:pStyle w:val="TOC3"/>
        <w:rPr>
          <w:rFonts w:ascii="Calibri" w:hAnsi="Calibr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27</w:t>
        </w:r>
        <w:r>
          <w:fldChar w:fldCharType="end"/>
        </w:r>
      </w:hyperlink>
    </w:p>
    <w:p>
      <w:pPr>
        <w:pStyle w:val="TOC3"/>
        <w:rPr>
          <w:rFonts w:ascii="Calibri" w:hAnsi="Calibr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28</w:t>
        </w:r>
        <w:r>
          <w:fldChar w:fldCharType="end"/>
        </w:r>
      </w:hyperlink>
    </w:p>
    <w:p>
      <w:pPr>
        <w:pStyle w:val="TOC3"/>
        <w:rPr>
          <w:rFonts w:ascii="Calibri" w:hAnsi="Calibr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28</w:t>
        </w:r>
        <w:r>
          <w:fldChar w:fldCharType="end"/>
        </w:r>
      </w:hyperlink>
    </w:p>
    <w:p>
      <w:pPr>
        <w:pStyle w:val="TOC3"/>
        <w:rPr>
          <w:rFonts w:ascii="Calibri" w:hAnsi="Calibr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29</w:t>
        </w:r>
        <w:r>
          <w:fldChar w:fldCharType="end"/>
        </w:r>
      </w:hyperlink>
    </w:p>
    <w:p>
      <w:pPr>
        <w:pStyle w:val="TOC3"/>
        <w:rPr>
          <w:rFonts w:ascii="Calibri" w:hAnsi="Calibr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29</w:t>
        </w:r>
        <w:r>
          <w:fldChar w:fldCharType="end"/>
        </w:r>
      </w:hyperlink>
    </w:p>
    <w:p>
      <w:pPr>
        <w:pStyle w:val="TOC3"/>
        <w:rPr>
          <w:rFonts w:ascii="Calibri" w:hAnsi="Calibr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30</w:t>
        </w:r>
        <w:r>
          <w:fldChar w:fldCharType="end"/>
        </w:r>
      </w:hyperlink>
    </w:p>
    <w:p>
      <w:pPr>
        <w:pStyle w:val="TOC3"/>
        <w:rPr>
          <w:rFonts w:ascii="Calibri" w:hAnsi="Calibr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30</w:t>
        </w:r>
        <w:r>
          <w:fldChar w:fldCharType="end"/>
        </w:r>
      </w:hyperlink>
    </w:p>
    <w:p>
      <w:pPr>
        <w:pStyle w:val="TOC3"/>
        <w:rPr>
          <w:rFonts w:ascii="Calibri" w:hAnsi="Calibr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31</w:t>
        </w:r>
        <w:r>
          <w:fldChar w:fldCharType="end"/>
        </w:r>
      </w:hyperlink>
    </w:p>
    <w:p>
      <w:pPr>
        <w:pStyle w:val="TOC3"/>
        <w:rPr>
          <w:rFonts w:ascii="Calibri" w:hAnsi="Calibr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31</w:t>
        </w:r>
        <w:r>
          <w:fldChar w:fldCharType="end"/>
        </w:r>
      </w:hyperlink>
    </w:p>
    <w:p>
      <w:pPr>
        <w:pStyle w:val="TOC3"/>
        <w:rPr>
          <w:rFonts w:ascii="Calibri" w:hAnsi="Calibr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32</w:t>
        </w:r>
        <w:r>
          <w:fldChar w:fldCharType="end"/>
        </w:r>
      </w:hyperlink>
    </w:p>
    <w:p>
      <w:pPr>
        <w:pStyle w:val="TOC3"/>
        <w:rPr>
          <w:rFonts w:ascii="Calibri" w:hAnsi="Calibr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32</w:t>
        </w:r>
        <w:r>
          <w:fldChar w:fldCharType="end"/>
        </w:r>
      </w:hyperlink>
    </w:p>
    <w:p>
      <w:pPr>
        <w:pStyle w:val="TOC3"/>
        <w:rPr>
          <w:rFonts w:ascii="Calibri" w:hAnsi="Calibr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33</w:t>
        </w:r>
        <w:r>
          <w:fldChar w:fldCharType="end"/>
        </w:r>
      </w:hyperlink>
    </w:p>
    <w:p>
      <w:pPr>
        <w:pStyle w:val="TOC2"/>
        <w:rPr>
          <w:rFonts w:ascii="Calibri" w:hAnsi="Calibr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33</w:t>
        </w:r>
        <w:r>
          <w:fldChar w:fldCharType="end"/>
        </w:r>
      </w:hyperlink>
    </w:p>
    <w:p>
      <w:pPr>
        <w:pStyle w:val="TOC1"/>
        <w:rPr>
          <w:rFonts w:ascii="Calibri" w:hAnsi="Calibr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34</w:t>
        </w:r>
        <w:r>
          <w:fldChar w:fldCharType="end"/>
        </w:r>
      </w:hyperlink>
    </w:p>
    <w:p>
      <w:pPr>
        <w:pStyle w:val="TOC2"/>
        <w:rPr>
          <w:rFonts w:ascii="Calibri" w:hAnsi="Calibr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34</w:t>
        </w:r>
        <w:r>
          <w:fldChar w:fldCharType="end"/>
        </w:r>
      </w:hyperlink>
    </w:p>
    <w:p>
      <w:pPr>
        <w:pStyle w:val="TOC3"/>
        <w:rPr>
          <w:rFonts w:ascii="Calibri" w:hAnsi="Calibr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34</w:t>
        </w:r>
        <w:r>
          <w:fldChar w:fldCharType="end"/>
        </w:r>
      </w:hyperlink>
    </w:p>
    <w:p>
      <w:pPr>
        <w:pStyle w:val="TOC3"/>
        <w:rPr>
          <w:rFonts w:ascii="Calibri" w:hAnsi="Calibr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46</w:t>
        </w:r>
        <w:r>
          <w:fldChar w:fldCharType="end"/>
        </w:r>
      </w:hyperlink>
    </w:p>
    <w:p>
      <w:pPr>
        <w:pStyle w:val="TOC3"/>
        <w:rPr>
          <w:rFonts w:ascii="Calibri" w:hAnsi="Calibr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48</w:t>
        </w:r>
        <w:r>
          <w:fldChar w:fldCharType="end"/>
        </w:r>
      </w:hyperlink>
    </w:p>
    <w:p>
      <w:pPr>
        <w:pStyle w:val="TOC3"/>
        <w:rPr>
          <w:rFonts w:ascii="Calibri" w:hAnsi="Calibr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50</w:t>
        </w:r>
        <w:r>
          <w:fldChar w:fldCharType="end"/>
        </w:r>
      </w:hyperlink>
    </w:p>
    <w:p>
      <w:pPr>
        <w:pStyle w:val="TOC3"/>
        <w:rPr>
          <w:rFonts w:ascii="Calibri" w:hAnsi="Calibr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51</w:t>
        </w:r>
        <w:r>
          <w:fldChar w:fldCharType="end"/>
        </w:r>
      </w:hyperlink>
    </w:p>
    <w:p>
      <w:pPr>
        <w:pStyle w:val="TOC3"/>
        <w:rPr>
          <w:rFonts w:ascii="Calibri" w:hAnsi="Calibr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53</w:t>
        </w:r>
        <w:r>
          <w:fldChar w:fldCharType="end"/>
        </w:r>
      </w:hyperlink>
    </w:p>
    <w:p>
      <w:pPr>
        <w:pStyle w:val="TOC3"/>
        <w:rPr>
          <w:rFonts w:ascii="Calibri" w:hAnsi="Calibr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65</w:t>
        </w:r>
        <w:r>
          <w:fldChar w:fldCharType="end"/>
        </w:r>
      </w:hyperlink>
    </w:p>
    <w:p>
      <w:pPr>
        <w:pStyle w:val="TOC2"/>
        <w:rPr>
          <w:rFonts w:ascii="Calibri" w:hAnsi="Calibr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66</w:t>
        </w:r>
        <w:r>
          <w:fldChar w:fldCharType="end"/>
        </w:r>
      </w:hyperlink>
    </w:p>
    <w:p>
      <w:pPr>
        <w:pStyle w:val="TOC3"/>
        <w:rPr>
          <w:rFonts w:ascii="Calibri" w:hAnsi="Calibr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82</w:t>
        </w:r>
        <w:r>
          <w:fldChar w:fldCharType="end"/>
        </w:r>
      </w:hyperlink>
    </w:p>
    <w:p>
      <w:pPr>
        <w:pStyle w:val="TOC3"/>
        <w:rPr>
          <w:rFonts w:ascii="Calibri" w:hAnsi="Calibr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83</w:t>
        </w:r>
        <w:r>
          <w:fldChar w:fldCharType="end"/>
        </w:r>
      </w:hyperlink>
    </w:p>
    <w:p>
      <w:pPr>
        <w:pStyle w:val="TOC3"/>
        <w:rPr>
          <w:rFonts w:ascii="Calibri" w:hAnsi="Calibr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84</w:t>
        </w:r>
        <w:r>
          <w:fldChar w:fldCharType="end"/>
        </w:r>
      </w:hyperlink>
    </w:p>
    <w:p>
      <w:pPr>
        <w:pStyle w:val="TOC3"/>
        <w:rPr>
          <w:rFonts w:ascii="Calibri" w:hAnsi="Calibr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86</w:t>
        </w:r>
        <w:r>
          <w:fldChar w:fldCharType="end"/>
        </w:r>
      </w:hyperlink>
    </w:p>
    <w:p>
      <w:pPr>
        <w:pStyle w:val="TOC3"/>
        <w:rPr>
          <w:rFonts w:ascii="Calibri" w:hAnsi="Calibr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86</w:t>
        </w:r>
        <w:r>
          <w:fldChar w:fldCharType="end"/>
        </w:r>
      </w:hyperlink>
    </w:p>
    <w:p>
      <w:pPr>
        <w:pStyle w:val="TOC3"/>
        <w:rPr>
          <w:rFonts w:ascii="Calibri" w:hAnsi="Calibr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88</w:t>
        </w:r>
        <w:r>
          <w:fldChar w:fldCharType="end"/>
        </w:r>
      </w:hyperlink>
    </w:p>
    <w:p>
      <w:pPr>
        <w:pStyle w:val="TOC3"/>
        <w:rPr>
          <w:rFonts w:ascii="Calibri" w:hAnsi="Calibr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89</w:t>
        </w:r>
        <w:r>
          <w:fldChar w:fldCharType="end"/>
        </w:r>
      </w:hyperlink>
    </w:p>
    <w:p>
      <w:pPr>
        <w:pStyle w:val="TOC3"/>
        <w:rPr>
          <w:rFonts w:ascii="Calibri" w:hAnsi="Calibr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90</w:t>
        </w:r>
        <w:r>
          <w:fldChar w:fldCharType="end"/>
        </w:r>
      </w:hyperlink>
    </w:p>
    <w:p>
      <w:pPr>
        <w:pStyle w:val="TOC3"/>
        <w:rPr>
          <w:rFonts w:ascii="Calibri" w:hAnsi="Calibr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91</w:t>
        </w:r>
        <w:r>
          <w:fldChar w:fldCharType="end"/>
        </w:r>
      </w:hyperlink>
    </w:p>
    <w:p>
      <w:pPr>
        <w:pStyle w:val="TOC3"/>
        <w:rPr>
          <w:rFonts w:ascii="Calibri" w:hAnsi="Calibr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92</w:t>
        </w:r>
        <w:r>
          <w:fldChar w:fldCharType="end"/>
        </w:r>
      </w:hyperlink>
    </w:p>
    <w:p>
      <w:pPr>
        <w:pStyle w:val="TOC3"/>
        <w:rPr>
          <w:rFonts w:ascii="Calibri" w:hAnsi="Calibr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92</w:t>
        </w:r>
        <w:r>
          <w:fldChar w:fldCharType="end"/>
        </w:r>
      </w:hyperlink>
    </w:p>
    <w:p>
      <w:pPr>
        <w:pStyle w:val="TOC3"/>
        <w:rPr>
          <w:rFonts w:ascii="Calibri" w:hAnsi="Calibr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93</w:t>
        </w:r>
        <w:r>
          <w:fldChar w:fldCharType="end"/>
        </w:r>
      </w:hyperlink>
    </w:p>
    <w:p>
      <w:pPr>
        <w:pStyle w:val="TOC3"/>
        <w:rPr>
          <w:rFonts w:ascii="Calibri" w:hAnsi="Calibr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94</w:t>
        </w:r>
        <w:r>
          <w:fldChar w:fldCharType="end"/>
        </w:r>
      </w:hyperlink>
    </w:p>
    <w:p>
      <w:pPr>
        <w:pStyle w:val="TOC3"/>
        <w:rPr>
          <w:rFonts w:ascii="Calibri" w:hAnsi="Calibr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95</w:t>
        </w:r>
        <w:r>
          <w:fldChar w:fldCharType="end"/>
        </w:r>
      </w:hyperlink>
    </w:p>
    <w:p>
      <w:pPr>
        <w:pStyle w:val="TOC3"/>
        <w:rPr>
          <w:rFonts w:ascii="Calibri" w:hAnsi="Calibr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96</w:t>
        </w:r>
        <w:r>
          <w:fldChar w:fldCharType="end"/>
        </w:r>
      </w:hyperlink>
    </w:p>
    <w:p>
      <w:pPr>
        <w:pStyle w:val="TOC3"/>
        <w:rPr>
          <w:rFonts w:ascii="Calibri" w:hAnsi="Calibr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96</w:t>
        </w:r>
        <w:r>
          <w:fldChar w:fldCharType="end"/>
        </w:r>
      </w:hyperlink>
    </w:p>
    <w:p>
      <w:pPr>
        <w:pStyle w:val="TOC3"/>
        <w:rPr>
          <w:rFonts w:ascii="Calibri" w:hAnsi="Calibr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97</w:t>
        </w:r>
        <w:r>
          <w:fldChar w:fldCharType="end"/>
        </w:r>
      </w:hyperlink>
    </w:p>
    <w:p>
      <w:pPr>
        <w:pStyle w:val="TOC3"/>
        <w:rPr>
          <w:rFonts w:ascii="Calibri" w:hAnsi="Calibr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98</w:t>
        </w:r>
        <w:r>
          <w:fldChar w:fldCharType="end"/>
        </w:r>
      </w:hyperlink>
    </w:p>
    <w:p>
      <w:pPr>
        <w:pStyle w:val="TOC3"/>
        <w:rPr>
          <w:rFonts w:ascii="Calibri" w:hAnsi="Calibr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99</w:t>
        </w:r>
        <w:r>
          <w:fldChar w:fldCharType="end"/>
        </w:r>
      </w:hyperlink>
    </w:p>
    <w:p>
      <w:pPr>
        <w:pStyle w:val="TOC3"/>
        <w:rPr>
          <w:rFonts w:ascii="Calibri" w:hAnsi="Calibr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100</w:t>
        </w:r>
        <w:r>
          <w:fldChar w:fldCharType="end"/>
        </w:r>
      </w:hyperlink>
    </w:p>
    <w:p>
      <w:pPr>
        <w:pStyle w:val="TOC3"/>
        <w:rPr>
          <w:rFonts w:ascii="Calibri" w:hAnsi="Calibr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100</w:t>
        </w:r>
        <w:r>
          <w:fldChar w:fldCharType="end"/>
        </w:r>
      </w:hyperlink>
    </w:p>
    <w:p>
      <w:pPr>
        <w:pStyle w:val="TOC3"/>
        <w:rPr>
          <w:rFonts w:ascii="Calibri" w:hAnsi="Calibr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101</w:t>
        </w:r>
        <w:r>
          <w:fldChar w:fldCharType="end"/>
        </w:r>
      </w:hyperlink>
    </w:p>
    <w:p>
      <w:pPr>
        <w:pStyle w:val="TOC3"/>
        <w:rPr>
          <w:rFonts w:ascii="Calibri" w:hAnsi="Calibr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102</w:t>
        </w:r>
        <w:r>
          <w:fldChar w:fldCharType="end"/>
        </w:r>
      </w:hyperlink>
    </w:p>
    <w:p>
      <w:pPr>
        <w:pStyle w:val="TOC3"/>
        <w:rPr>
          <w:rFonts w:ascii="Calibri" w:hAnsi="Calibr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102</w:t>
        </w:r>
        <w:r>
          <w:fldChar w:fldCharType="end"/>
        </w:r>
      </w:hyperlink>
    </w:p>
    <w:p>
      <w:pPr>
        <w:pStyle w:val="TOC3"/>
        <w:rPr>
          <w:rFonts w:ascii="Calibri" w:hAnsi="Calibr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103</w:t>
        </w:r>
        <w:r>
          <w:fldChar w:fldCharType="end"/>
        </w:r>
      </w:hyperlink>
    </w:p>
    <w:p>
      <w:pPr>
        <w:pStyle w:val="TOC3"/>
        <w:rPr>
          <w:rFonts w:ascii="Calibri" w:hAnsi="Calibr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104</w:t>
        </w:r>
        <w:r>
          <w:fldChar w:fldCharType="end"/>
        </w:r>
      </w:hyperlink>
    </w:p>
    <w:p>
      <w:pPr>
        <w:pStyle w:val="TOC3"/>
        <w:rPr>
          <w:rFonts w:ascii="Calibri" w:hAnsi="Calibr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104</w:t>
        </w:r>
        <w:r>
          <w:fldChar w:fldCharType="end"/>
        </w:r>
      </w:hyperlink>
    </w:p>
    <w:p>
      <w:pPr>
        <w:pStyle w:val="TOC3"/>
        <w:rPr>
          <w:rFonts w:ascii="Calibri" w:hAnsi="Calibr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105</w:t>
        </w:r>
        <w:r>
          <w:fldChar w:fldCharType="end"/>
        </w:r>
      </w:hyperlink>
    </w:p>
    <w:p>
      <w:pPr>
        <w:pStyle w:val="TOC3"/>
        <w:rPr>
          <w:rFonts w:ascii="Calibri" w:hAnsi="Calibr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106</w:t>
        </w:r>
        <w:r>
          <w:fldChar w:fldCharType="end"/>
        </w:r>
      </w:hyperlink>
    </w:p>
    <w:p>
      <w:pPr>
        <w:pStyle w:val="TOC3"/>
        <w:rPr>
          <w:rFonts w:ascii="Calibri" w:hAnsi="Calibr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106</w:t>
        </w:r>
        <w:r>
          <w:fldChar w:fldCharType="end"/>
        </w:r>
      </w:hyperlink>
    </w:p>
    <w:p>
      <w:pPr>
        <w:pStyle w:val="TOC3"/>
        <w:rPr>
          <w:rFonts w:ascii="Calibri" w:hAnsi="Calibr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106</w:t>
        </w:r>
        <w:r>
          <w:fldChar w:fldCharType="end"/>
        </w:r>
      </w:hyperlink>
    </w:p>
    <w:p>
      <w:pPr>
        <w:pStyle w:val="TOC3"/>
        <w:rPr>
          <w:rFonts w:ascii="Calibri" w:hAnsi="Calibr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107</w:t>
        </w:r>
        <w:r>
          <w:fldChar w:fldCharType="end"/>
        </w:r>
      </w:hyperlink>
    </w:p>
    <w:p>
      <w:pPr>
        <w:pStyle w:val="TOC3"/>
        <w:rPr>
          <w:rFonts w:ascii="Calibri" w:hAnsi="Calibr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108</w:t>
        </w:r>
        <w:r>
          <w:fldChar w:fldCharType="end"/>
        </w:r>
      </w:hyperlink>
    </w:p>
    <w:p>
      <w:pPr>
        <w:pStyle w:val="TOC3"/>
        <w:rPr>
          <w:rFonts w:ascii="Calibri" w:hAnsi="Calibr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109</w:t>
        </w:r>
        <w:r>
          <w:fldChar w:fldCharType="end"/>
        </w:r>
      </w:hyperlink>
    </w:p>
    <w:p>
      <w:pPr>
        <w:pStyle w:val="TOC3"/>
        <w:rPr>
          <w:rFonts w:ascii="Calibri" w:hAnsi="Calibr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109</w:t>
        </w:r>
        <w:r>
          <w:fldChar w:fldCharType="end"/>
        </w:r>
      </w:hyperlink>
    </w:p>
    <w:p>
      <w:pPr>
        <w:pStyle w:val="TOC3"/>
        <w:rPr>
          <w:rFonts w:ascii="Calibri" w:hAnsi="Calibr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110</w:t>
        </w:r>
        <w:r>
          <w:fldChar w:fldCharType="end"/>
        </w:r>
      </w:hyperlink>
    </w:p>
    <w:p>
      <w:pPr>
        <w:pStyle w:val="TOC3"/>
        <w:rPr>
          <w:rFonts w:ascii="Calibri" w:hAnsi="Calibr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110</w:t>
        </w:r>
        <w:r>
          <w:fldChar w:fldCharType="end"/>
        </w:r>
      </w:hyperlink>
    </w:p>
    <w:p>
      <w:pPr>
        <w:pStyle w:val="TOC3"/>
        <w:rPr>
          <w:rFonts w:ascii="Calibri" w:hAnsi="Calibr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111</w:t>
        </w:r>
        <w:r>
          <w:fldChar w:fldCharType="end"/>
        </w:r>
      </w:hyperlink>
    </w:p>
    <w:p>
      <w:pPr>
        <w:pStyle w:val="TOC3"/>
        <w:rPr>
          <w:rFonts w:ascii="Calibri" w:hAnsi="Calibr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111</w:t>
        </w:r>
        <w:r>
          <w:fldChar w:fldCharType="end"/>
        </w:r>
      </w:hyperlink>
    </w:p>
    <w:p>
      <w:pPr>
        <w:pStyle w:val="TOC3"/>
        <w:rPr>
          <w:rFonts w:ascii="Calibri" w:hAnsi="Calibr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112</w:t>
        </w:r>
        <w:r>
          <w:fldChar w:fldCharType="end"/>
        </w:r>
      </w:hyperlink>
    </w:p>
    <w:p>
      <w:pPr>
        <w:pStyle w:val="TOC1"/>
        <w:rPr>
          <w:rFonts w:ascii="Calibri" w:hAnsi="Calibr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114</w:t>
        </w:r>
        <w:r>
          <w:fldChar w:fldCharType="end"/>
        </w:r>
      </w:hyperlink>
    </w:p>
    <w:p>
      <w:pPr>
        <w:pStyle w:val="TOC2"/>
        <w:rPr>
          <w:rFonts w:ascii="Calibri" w:hAnsi="Calibr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114</w:t>
        </w:r>
        <w:r>
          <w:fldChar w:fldCharType="end"/>
        </w:r>
      </w:hyperlink>
    </w:p>
    <w:p>
      <w:pPr>
        <w:pStyle w:val="TOC2"/>
        <w:rPr>
          <w:rFonts w:ascii="Calibri" w:hAnsi="Calibr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120</w:t>
        </w:r>
        <w:r>
          <w:fldChar w:fldCharType="end"/>
        </w:r>
      </w:hyperlink>
    </w:p>
    <w:p>
      <w:pPr>
        <w:pStyle w:val="TOC3"/>
        <w:rPr>
          <w:rFonts w:ascii="Calibri" w:hAnsi="Calibr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120</w:t>
        </w:r>
        <w:r>
          <w:fldChar w:fldCharType="end"/>
        </w:r>
      </w:hyperlink>
    </w:p>
    <w:p>
      <w:pPr>
        <w:pStyle w:val="TOC3"/>
        <w:rPr>
          <w:rFonts w:ascii="Calibri" w:hAnsi="Calibr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121</w:t>
        </w:r>
        <w:r>
          <w:fldChar w:fldCharType="end"/>
        </w:r>
      </w:hyperlink>
    </w:p>
    <w:p>
      <w:pPr>
        <w:pStyle w:val="TOC3"/>
        <w:rPr>
          <w:rFonts w:ascii="Calibri" w:hAnsi="Calibr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123</w:t>
        </w:r>
        <w:r>
          <w:fldChar w:fldCharType="end"/>
        </w:r>
      </w:hyperlink>
    </w:p>
    <w:p>
      <w:pPr>
        <w:pStyle w:val="TOC3"/>
        <w:rPr>
          <w:rFonts w:ascii="Calibri" w:hAnsi="Calibr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125</w:t>
        </w:r>
        <w:r>
          <w:fldChar w:fldCharType="end"/>
        </w:r>
      </w:hyperlink>
    </w:p>
    <w:p>
      <w:pPr>
        <w:pStyle w:val="TOC3"/>
        <w:rPr>
          <w:rFonts w:ascii="Calibri" w:hAnsi="Calibr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129</w:t>
        </w:r>
        <w:r>
          <w:fldChar w:fldCharType="end"/>
        </w:r>
      </w:hyperlink>
    </w:p>
    <w:p>
      <w:pPr>
        <w:pStyle w:val="TOC3"/>
        <w:rPr>
          <w:rFonts w:ascii="Calibri" w:hAnsi="Calibr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133</w:t>
        </w:r>
        <w:r>
          <w:fldChar w:fldCharType="end"/>
        </w:r>
      </w:hyperlink>
    </w:p>
    <w:p>
      <w:pPr>
        <w:pStyle w:val="TOC2"/>
        <w:rPr>
          <w:rFonts w:ascii="Calibri" w:hAnsi="Calibr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136</w:t>
        </w:r>
        <w:r>
          <w:fldChar w:fldCharType="end"/>
        </w:r>
      </w:hyperlink>
    </w:p>
    <w:p>
      <w:pPr>
        <w:pStyle w:val="TOC2"/>
        <w:rPr>
          <w:rFonts w:ascii="Calibri" w:hAnsi="Calibr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139</w:t>
        </w:r>
        <w:r>
          <w:fldChar w:fldCharType="end"/>
        </w:r>
      </w:hyperlink>
    </w:p>
    <w:p>
      <w:pPr>
        <w:pStyle w:val="TOC2"/>
        <w:rPr>
          <w:rFonts w:ascii="Calibri" w:hAnsi="Calibr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142</w:t>
        </w:r>
        <w:r>
          <w:fldChar w:fldCharType="end"/>
        </w:r>
      </w:hyperlink>
    </w:p>
    <w:p>
      <w:pPr>
        <w:pStyle w:val="TOC1"/>
        <w:rPr>
          <w:rFonts w:ascii="Calibri" w:hAnsi="Calibr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146</w:t>
        </w:r>
        <w:r>
          <w:fldChar w:fldCharType="end"/>
        </w:r>
      </w:hyperlink>
    </w:p>
    <w:p>
      <w:pPr>
        <w:pStyle w:val="TOC2"/>
        <w:rPr>
          <w:rFonts w:ascii="Calibri" w:hAnsi="Calibr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146</w:t>
        </w:r>
        <w:r>
          <w:fldChar w:fldCharType="end"/>
        </w:r>
      </w:hyperlink>
    </w:p>
    <w:p>
      <w:pPr>
        <w:pStyle w:val="TOC2"/>
        <w:rPr>
          <w:rFonts w:ascii="Calibri" w:hAnsi="Calibr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147</w:t>
        </w:r>
        <w:r>
          <w:fldChar w:fldCharType="end"/>
        </w:r>
      </w:hyperlink>
    </w:p>
    <w:p>
      <w:pPr>
        <w:pStyle w:val="TOC3"/>
        <w:rPr>
          <w:rFonts w:ascii="Calibri" w:hAnsi="Calibr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173</w:t>
        </w:r>
        <w:r>
          <w:fldChar w:fldCharType="end"/>
        </w:r>
      </w:hyperlink>
    </w:p>
    <w:p>
      <w:pPr>
        <w:pStyle w:val="TOC3"/>
        <w:rPr>
          <w:rFonts w:ascii="Calibri" w:hAnsi="Calibr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176</w:t>
        </w:r>
        <w:r>
          <w:fldChar w:fldCharType="end"/>
        </w:r>
      </w:hyperlink>
    </w:p>
    <w:p>
      <w:pPr>
        <w:pStyle w:val="TOC1"/>
        <w:rPr>
          <w:rFonts w:ascii="Calibri" w:hAnsi="Calibr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180</w:t>
        </w:r>
        <w:r>
          <w:fldChar w:fldCharType="end"/>
        </w:r>
      </w:hyperlink>
    </w:p>
    <w:p>
      <w:pPr>
        <w:pStyle w:val="TOC2"/>
        <w:rPr>
          <w:rFonts w:ascii="Calibri" w:hAnsi="Calibr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180</w:t>
        </w:r>
        <w:r>
          <w:fldChar w:fldCharType="end"/>
        </w:r>
      </w:hyperlink>
    </w:p>
    <w:p>
      <w:pPr>
        <w:pStyle w:val="TOC3"/>
        <w:rPr>
          <w:rFonts w:ascii="Calibri" w:hAnsi="Calibr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184</w:t>
        </w:r>
        <w:r>
          <w:fldChar w:fldCharType="end"/>
        </w:r>
      </w:hyperlink>
    </w:p>
    <w:p>
      <w:pPr>
        <w:pStyle w:val="TOC3"/>
        <w:rPr>
          <w:rFonts w:ascii="Calibri" w:hAnsi="Calibr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184</w:t>
        </w:r>
        <w:r>
          <w:fldChar w:fldCharType="end"/>
        </w:r>
      </w:hyperlink>
    </w:p>
    <w:p>
      <w:pPr>
        <w:pStyle w:val="TOC3"/>
        <w:rPr>
          <w:rFonts w:ascii="Calibri" w:hAnsi="Calibr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185</w:t>
        </w:r>
        <w:r>
          <w:fldChar w:fldCharType="end"/>
        </w:r>
      </w:hyperlink>
    </w:p>
    <w:p>
      <w:pPr>
        <w:pStyle w:val="TOC3"/>
        <w:rPr>
          <w:rFonts w:ascii="Calibri" w:hAnsi="Calibr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185</w:t>
        </w:r>
        <w:r>
          <w:fldChar w:fldCharType="end"/>
        </w:r>
      </w:hyperlink>
    </w:p>
    <w:p>
      <w:pPr>
        <w:pStyle w:val="TOC3"/>
        <w:rPr>
          <w:rFonts w:ascii="Calibri" w:hAnsi="Calibr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186</w:t>
        </w:r>
        <w:r>
          <w:fldChar w:fldCharType="end"/>
        </w:r>
      </w:hyperlink>
    </w:p>
    <w:p>
      <w:pPr>
        <w:pStyle w:val="TOC2"/>
        <w:rPr>
          <w:rFonts w:ascii="Calibri" w:hAnsi="Calibr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188</w:t>
        </w:r>
        <w:r>
          <w:fldChar w:fldCharType="end"/>
        </w:r>
      </w:hyperlink>
    </w:p>
    <w:p>
      <w:pPr>
        <w:pStyle w:val="TOC3"/>
        <w:rPr>
          <w:rFonts w:ascii="Calibri" w:hAnsi="Calibr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188</w:t>
        </w:r>
        <w:r>
          <w:fldChar w:fldCharType="end"/>
        </w:r>
      </w:hyperlink>
    </w:p>
    <w:p>
      <w:pPr>
        <w:pStyle w:val="TOC2"/>
        <w:rPr>
          <w:rFonts w:ascii="Calibri" w:hAnsi="Calibr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189</w:t>
        </w:r>
        <w:r>
          <w:fldChar w:fldCharType="end"/>
        </w:r>
      </w:hyperlink>
    </w:p>
    <w:p>
      <w:pPr>
        <w:pStyle w:val="TOC1"/>
        <w:rPr>
          <w:rFonts w:ascii="Calibri" w:hAnsi="Calibr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190</w:t>
        </w:r>
        <w:r>
          <w:fldChar w:fldCharType="end"/>
        </w:r>
      </w:hyperlink>
    </w:p>
    <w:p>
      <w:pPr>
        <w:pStyle w:val="TOC2"/>
        <w:rPr>
          <w:rFonts w:ascii="Calibri" w:hAnsi="Calibr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190</w:t>
        </w:r>
        <w:r>
          <w:fldChar w:fldCharType="end"/>
        </w:r>
      </w:hyperlink>
    </w:p>
    <w:p>
      <w:pPr>
        <w:pStyle w:val="TOC2"/>
        <w:rPr>
          <w:rFonts w:ascii="Calibri" w:hAnsi="Calibr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204</w:t>
        </w:r>
        <w:r>
          <w:fldChar w:fldCharType="end"/>
        </w:r>
      </w:hyperlink>
    </w:p>
    <w:p>
      <w:pPr>
        <w:pStyle w:val="TOC3"/>
        <w:rPr>
          <w:rFonts w:ascii="Calibri" w:hAnsi="Calibr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204</w:t>
        </w:r>
        <w:r>
          <w:fldChar w:fldCharType="end"/>
        </w:r>
      </w:hyperlink>
    </w:p>
    <w:p>
      <w:pPr>
        <w:pStyle w:val="TOC3"/>
        <w:rPr>
          <w:rFonts w:ascii="Calibri" w:hAnsi="Calibr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224</w:t>
        </w:r>
        <w:r>
          <w:fldChar w:fldCharType="end"/>
        </w:r>
      </w:hyperlink>
    </w:p>
    <w:p>
      <w:pPr>
        <w:pStyle w:val="TOC3"/>
        <w:rPr>
          <w:rFonts w:ascii="Calibri" w:hAnsi="Calibr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252</w:t>
        </w:r>
        <w:r>
          <w:fldChar w:fldCharType="end"/>
        </w:r>
      </w:hyperlink>
    </w:p>
    <w:p>
      <w:pPr>
        <w:pStyle w:val="TOC3"/>
        <w:rPr>
          <w:rFonts w:ascii="Calibri" w:hAnsi="Calibr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328</w:t>
        </w:r>
        <w:r>
          <w:fldChar w:fldCharType="end"/>
        </w:r>
      </w:hyperlink>
    </w:p>
    <w:p>
      <w:pPr>
        <w:pStyle w:val="TOC3"/>
        <w:rPr>
          <w:rFonts w:ascii="Calibri" w:hAnsi="Calibr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343</w:t>
        </w:r>
        <w:r>
          <w:fldChar w:fldCharType="end"/>
        </w:r>
      </w:hyperlink>
    </w:p>
    <w:p>
      <w:pPr>
        <w:pStyle w:val="TOC3"/>
        <w:rPr>
          <w:rFonts w:ascii="Calibri" w:hAnsi="Calibr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390</w:t>
        </w:r>
        <w:r>
          <w:fldChar w:fldCharType="end"/>
        </w:r>
      </w:hyperlink>
    </w:p>
    <w:p>
      <w:pPr>
        <w:pStyle w:val="TOC3"/>
        <w:rPr>
          <w:rFonts w:ascii="Calibri" w:hAnsi="Calibr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424</w:t>
        </w:r>
        <w:r>
          <w:fldChar w:fldCharType="end"/>
        </w:r>
      </w:hyperlink>
    </w:p>
    <w:p>
      <w:pPr>
        <w:pStyle w:val="TOC3"/>
        <w:rPr>
          <w:rFonts w:ascii="Calibri" w:hAnsi="Calibr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467</w:t>
        </w:r>
        <w:r>
          <w:fldChar w:fldCharType="end"/>
        </w:r>
      </w:hyperlink>
    </w:p>
    <w:p>
      <w:pPr>
        <w:pStyle w:val="TOC3"/>
        <w:rPr>
          <w:rFonts w:ascii="Calibri" w:hAnsi="Calibr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480</w:t>
        </w:r>
        <w:r>
          <w:fldChar w:fldCharType="end"/>
        </w:r>
      </w:hyperlink>
    </w:p>
    <w:p>
      <w:pPr>
        <w:pStyle w:val="TOC3"/>
        <w:rPr>
          <w:rFonts w:ascii="Calibri" w:hAnsi="Calibr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530</w:t>
        </w:r>
        <w:r>
          <w:fldChar w:fldCharType="end"/>
        </w:r>
      </w:hyperlink>
    </w:p>
    <w:p>
      <w:pPr>
        <w:pStyle w:val="TOC3"/>
        <w:rPr>
          <w:rFonts w:ascii="Calibri" w:hAnsi="Calibr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556</w:t>
        </w:r>
        <w:r>
          <w:fldChar w:fldCharType="end"/>
        </w:r>
      </w:hyperlink>
    </w:p>
    <w:p>
      <w:pPr>
        <w:pStyle w:val="TOC3"/>
        <w:rPr>
          <w:rFonts w:ascii="Calibri" w:hAnsi="Calibr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576</w:t>
        </w:r>
        <w:r>
          <w:fldChar w:fldCharType="end"/>
        </w:r>
      </w:hyperlink>
    </w:p>
    <w:p>
      <w:pPr>
        <w:pStyle w:val="TOC3"/>
        <w:rPr>
          <w:rFonts w:ascii="Calibri" w:hAnsi="Calibr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600</w:t>
        </w:r>
        <w:r>
          <w:fldChar w:fldCharType="end"/>
        </w:r>
      </w:hyperlink>
    </w:p>
    <w:p>
      <w:pPr>
        <w:pStyle w:val="TOC3"/>
        <w:rPr>
          <w:rFonts w:ascii="Calibri" w:hAnsi="Calibr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615</w:t>
        </w:r>
        <w:r>
          <w:fldChar w:fldCharType="end"/>
        </w:r>
      </w:hyperlink>
    </w:p>
    <w:p>
      <w:pPr>
        <w:pStyle w:val="TOC3"/>
        <w:rPr>
          <w:rFonts w:ascii="Calibri" w:hAnsi="Calibr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638</w:t>
        </w:r>
        <w:r>
          <w:fldChar w:fldCharType="end"/>
        </w:r>
      </w:hyperlink>
    </w:p>
    <w:p>
      <w:pPr>
        <w:pStyle w:val="TOC3"/>
        <w:rPr>
          <w:rFonts w:ascii="Calibri" w:hAnsi="Calibri"/>
          <w:noProof/>
          <w:sz w:val="22"/>
        </w:rPr>
      </w:pPr>
      <w:hyperlink w:anchor="_Toc256000133" w:history="1">
        <w:r>
          <w:rPr>
            <w:rStyle w:val="Hyperlink"/>
          </w:rPr>
          <w:t>8.2.16.</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_Toc256000133 \h </w:instrText>
        </w:r>
        <w:r>
          <w:fldChar w:fldCharType="separate"/>
        </w:r>
        <w:r>
          <w:t>681</w:t>
        </w:r>
        <w:r>
          <w:fldChar w:fldCharType="end"/>
        </w:r>
      </w:hyperlink>
    </w:p>
    <w:p>
      <w:pPr>
        <w:pStyle w:val="TOC1"/>
        <w:rPr>
          <w:rFonts w:ascii="Calibri" w:hAnsi="Calibri"/>
          <w:noProof/>
          <w:sz w:val="22"/>
        </w:rPr>
      </w:pPr>
      <w:hyperlink w:anchor="_Toc256000134"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_Toc256000134 \h </w:instrText>
        </w:r>
        <w:r>
          <w:fldChar w:fldCharType="separate"/>
        </w:r>
        <w:r>
          <w:t>713</w:t>
        </w:r>
        <w:r>
          <w:fldChar w:fldCharType="end"/>
        </w:r>
      </w:hyperlink>
    </w:p>
    <w:p>
      <w:pPr>
        <w:pStyle w:val="TOC2"/>
        <w:rPr>
          <w:rFonts w:ascii="Calibri" w:hAnsi="Calibri"/>
          <w:noProof/>
          <w:sz w:val="22"/>
        </w:rPr>
      </w:pPr>
      <w:hyperlink w:anchor="_Toc256000135" w:history="1">
        <w:r>
          <w:rPr>
            <w:rStyle w:val="Hyperlink"/>
          </w:rPr>
          <w:t>9.1.</w:t>
        </w:r>
        <w:r>
          <w:rPr>
            <w:rStyle w:val="Hyperlink"/>
          </w:rPr>
          <w:t xml:space="preserve"> </w:t>
        </w:r>
        <w:r>
          <w:rPr>
            <w:rStyle w:val="Hyperlink"/>
          </w:rPr>
          <w:t>Цели и задачи</w:t>
        </w:r>
        <w:r>
          <w:tab/>
        </w:r>
        <w:r>
          <w:fldChar w:fldCharType="begin"/>
        </w:r>
        <w:r>
          <w:instrText xml:space="preserve"> PAGEREF _Toc256000135 \h </w:instrText>
        </w:r>
        <w:r>
          <w:fldChar w:fldCharType="separate"/>
        </w:r>
        <w:r>
          <w:t>713</w:t>
        </w:r>
        <w:r>
          <w:fldChar w:fldCharType="end"/>
        </w:r>
      </w:hyperlink>
    </w:p>
    <w:p>
      <w:pPr>
        <w:pStyle w:val="TOC2"/>
        <w:rPr>
          <w:rFonts w:ascii="Calibri" w:hAnsi="Calibri"/>
          <w:noProof/>
          <w:sz w:val="22"/>
        </w:rPr>
      </w:pPr>
      <w:hyperlink w:anchor="_Toc256000136"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_Toc256000136 \h </w:instrText>
        </w:r>
        <w:r>
          <w:fldChar w:fldCharType="separate"/>
        </w:r>
        <w:r>
          <w:t>714</w:t>
        </w:r>
        <w:r>
          <w:fldChar w:fldCharType="end"/>
        </w:r>
      </w:hyperlink>
    </w:p>
    <w:p>
      <w:pPr>
        <w:pStyle w:val="TOC2"/>
        <w:rPr>
          <w:rFonts w:ascii="Calibri" w:hAnsi="Calibri"/>
          <w:noProof/>
          <w:sz w:val="22"/>
        </w:rPr>
      </w:pPr>
      <w:hyperlink w:anchor="_Toc256000137"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_Toc256000137 \h </w:instrText>
        </w:r>
        <w:r>
          <w:fldChar w:fldCharType="separate"/>
        </w:r>
        <w:r>
          <w:t>716</w:t>
        </w:r>
        <w:r>
          <w:fldChar w:fldCharType="end"/>
        </w:r>
      </w:hyperlink>
    </w:p>
    <w:p>
      <w:pPr>
        <w:pStyle w:val="TOC2"/>
        <w:rPr>
          <w:rFonts w:ascii="Calibri" w:hAnsi="Calibri"/>
          <w:noProof/>
          <w:sz w:val="22"/>
        </w:rPr>
      </w:pPr>
      <w:hyperlink w:anchor="_Toc256000138"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_Toc256000138 \h </w:instrText>
        </w:r>
        <w:r>
          <w:fldChar w:fldCharType="separate"/>
        </w:r>
        <w:r>
          <w:t>720</w:t>
        </w:r>
        <w:r>
          <w:fldChar w:fldCharType="end"/>
        </w:r>
      </w:hyperlink>
    </w:p>
    <w:p>
      <w:pPr>
        <w:pStyle w:val="TOC2"/>
        <w:rPr>
          <w:rFonts w:ascii="Calibri" w:hAnsi="Calibri"/>
          <w:noProof/>
          <w:sz w:val="22"/>
        </w:rPr>
      </w:pPr>
      <w:hyperlink w:anchor="_Toc256000139" w:history="1">
        <w:r>
          <w:rPr>
            <w:rStyle w:val="Hyperlink"/>
          </w:rPr>
          <w:t>9.5.</w:t>
        </w:r>
        <w:r>
          <w:rPr>
            <w:rStyle w:val="Hyperlink"/>
          </w:rPr>
          <w:t xml:space="preserve"> </w:t>
        </w:r>
        <w:r>
          <w:rPr>
            <w:rStyle w:val="Hyperlink"/>
          </w:rPr>
          <w:t>График</w:t>
        </w:r>
        <w:r>
          <w:tab/>
        </w:r>
        <w:r>
          <w:fldChar w:fldCharType="begin"/>
        </w:r>
        <w:r>
          <w:instrText xml:space="preserve"> PAGEREF _Toc256000139 \h </w:instrText>
        </w:r>
        <w:r>
          <w:fldChar w:fldCharType="separate"/>
        </w:r>
        <w:r>
          <w:t>722</w:t>
        </w:r>
        <w:r>
          <w:fldChar w:fldCharType="end"/>
        </w:r>
      </w:hyperlink>
    </w:p>
    <w:p>
      <w:pPr>
        <w:pStyle w:val="TOC2"/>
        <w:rPr>
          <w:rFonts w:ascii="Calibri" w:hAnsi="Calibri"/>
          <w:noProof/>
          <w:sz w:val="22"/>
        </w:rPr>
      </w:pPr>
      <w:hyperlink w:anchor="_Toc256000140" w:history="1">
        <w:r>
          <w:rPr>
            <w:rStyle w:val="Hyperlink"/>
          </w:rPr>
          <w:t>9.6.</w:t>
        </w:r>
        <w:r>
          <w:rPr>
            <w:rStyle w:val="Hyperlink"/>
          </w:rPr>
          <w:t xml:space="preserve"> </w:t>
        </w:r>
        <w:r>
          <w:rPr>
            <w:rStyle w:val="Hyperlink"/>
          </w:rPr>
          <w:t>Комуникация</w:t>
        </w:r>
        <w:r>
          <w:tab/>
        </w:r>
        <w:r>
          <w:fldChar w:fldCharType="begin"/>
        </w:r>
        <w:r>
          <w:instrText xml:space="preserve"> PAGEREF _Toc256000140 \h </w:instrText>
        </w:r>
        <w:r>
          <w:fldChar w:fldCharType="separate"/>
        </w:r>
        <w:r>
          <w:t>723</w:t>
        </w:r>
        <w:r>
          <w:fldChar w:fldCharType="end"/>
        </w:r>
      </w:hyperlink>
    </w:p>
    <w:p>
      <w:pPr>
        <w:pStyle w:val="TOC2"/>
        <w:rPr>
          <w:rFonts w:ascii="Calibri" w:hAnsi="Calibri"/>
          <w:noProof/>
          <w:sz w:val="22"/>
        </w:rPr>
      </w:pPr>
      <w:hyperlink w:anchor="_Toc256000141" w:history="1">
        <w:r>
          <w:rPr>
            <w:rStyle w:val="Hyperlink"/>
          </w:rPr>
          <w:t>9.7.</w:t>
        </w:r>
        <w:r>
          <w:rPr>
            <w:rStyle w:val="Hyperlink"/>
          </w:rPr>
          <w:t xml:space="preserve"> </w:t>
        </w:r>
        <w:r>
          <w:rPr>
            <w:rStyle w:val="Hyperlink"/>
          </w:rPr>
          <w:t>Ресурси</w:t>
        </w:r>
        <w:r>
          <w:tab/>
        </w:r>
        <w:r>
          <w:fldChar w:fldCharType="begin"/>
        </w:r>
        <w:r>
          <w:instrText xml:space="preserve"> PAGEREF _Toc256000141 \h </w:instrText>
        </w:r>
        <w:r>
          <w:fldChar w:fldCharType="separate"/>
        </w:r>
        <w:r>
          <w:t>724</w:t>
        </w:r>
        <w:r>
          <w:fldChar w:fldCharType="end"/>
        </w:r>
      </w:hyperlink>
    </w:p>
    <w:p>
      <w:pPr>
        <w:pStyle w:val="TOC1"/>
        <w:rPr>
          <w:rFonts w:ascii="Calibri" w:hAnsi="Calibri"/>
          <w:noProof/>
          <w:sz w:val="22"/>
        </w:rPr>
      </w:pPr>
      <w:hyperlink w:anchor="_Toc256000142"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_Toc256000142 \h </w:instrText>
        </w:r>
        <w:r>
          <w:fldChar w:fldCharType="separate"/>
        </w:r>
        <w:r>
          <w:t>726</w:t>
        </w:r>
        <w:r>
          <w:fldChar w:fldCharType="end"/>
        </w:r>
      </w:hyperlink>
    </w:p>
    <w:p>
      <w:pPr>
        <w:pStyle w:val="TOC2"/>
        <w:rPr>
          <w:rFonts w:ascii="Calibri" w:hAnsi="Calibri"/>
          <w:noProof/>
          <w:sz w:val="22"/>
        </w:rPr>
      </w:pPr>
      <w:hyperlink w:anchor="_Toc256000143"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_Toc256000143 \h </w:instrText>
        </w:r>
        <w:r>
          <w:fldChar w:fldCharType="separate"/>
        </w:r>
        <w:r>
          <w:t>726</w:t>
        </w:r>
        <w:r>
          <w:fldChar w:fldCharType="end"/>
        </w:r>
      </w:hyperlink>
    </w:p>
    <w:p>
      <w:pPr>
        <w:pStyle w:val="TOC2"/>
        <w:rPr>
          <w:rFonts w:ascii="Calibri" w:hAnsi="Calibri"/>
          <w:noProof/>
          <w:sz w:val="22"/>
        </w:rPr>
      </w:pPr>
      <w:hyperlink w:anchor="_Toc256000144"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_Toc256000144 \h </w:instrText>
        </w:r>
        <w:r>
          <w:fldChar w:fldCharType="separate"/>
        </w:r>
        <w:r>
          <w:t>728</w:t>
        </w:r>
        <w:r>
          <w:fldChar w:fldCharType="end"/>
        </w:r>
      </w:hyperlink>
    </w:p>
    <w:p>
      <w:pPr>
        <w:pStyle w:val="TOC2"/>
        <w:rPr>
          <w:rFonts w:ascii="Calibri" w:hAnsi="Calibri"/>
          <w:noProof/>
          <w:sz w:val="22"/>
        </w:rPr>
      </w:pPr>
      <w:hyperlink w:anchor="_Toc256000145" w:history="1">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2022 г.)</w:t>
        </w:r>
        <w:r>
          <w:tab/>
        </w:r>
        <w:r>
          <w:fldChar w:fldCharType="begin"/>
        </w:r>
        <w:r>
          <w:instrText xml:space="preserve"> PAGEREF _Toc256000145 \h </w:instrText>
        </w:r>
        <w:r>
          <w:fldChar w:fldCharType="separate"/>
        </w:r>
        <w:r>
          <w:t>729</w:t>
        </w:r>
        <w:r>
          <w:fldChar w:fldCharType="end"/>
        </w:r>
      </w:hyperlink>
    </w:p>
    <w:p>
      <w:pPr>
        <w:pStyle w:val="TOC3"/>
        <w:rPr>
          <w:rFonts w:ascii="Calibri" w:hAnsi="Calibri"/>
          <w:noProof/>
          <w:sz w:val="22"/>
        </w:rPr>
      </w:pPr>
      <w:hyperlink w:anchor="_Toc256000146"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_Toc256000146 \h </w:instrText>
        </w:r>
        <w:r>
          <w:fldChar w:fldCharType="separate"/>
        </w:r>
        <w:r>
          <w:t>729</w:t>
        </w:r>
        <w:r>
          <w:fldChar w:fldCharType="end"/>
        </w:r>
      </w:hyperlink>
    </w:p>
    <w:p>
      <w:pPr>
        <w:pStyle w:val="TOC3"/>
        <w:rPr>
          <w:rFonts w:ascii="Calibri" w:hAnsi="Calibri"/>
          <w:noProof/>
          <w:sz w:val="22"/>
        </w:rPr>
      </w:pPr>
      <w:hyperlink w:anchor="_Toc256000147"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_Toc256000147 \h </w:instrText>
        </w:r>
        <w:r>
          <w:fldChar w:fldCharType="separate"/>
        </w:r>
        <w:r>
          <w:t>731</w:t>
        </w:r>
        <w:r>
          <w:fldChar w:fldCharType="end"/>
        </w:r>
      </w:hyperlink>
    </w:p>
    <w:p>
      <w:pPr>
        <w:pStyle w:val="TOC3"/>
        <w:rPr>
          <w:rFonts w:ascii="Calibri" w:hAnsi="Calibri"/>
          <w:noProof/>
          <w:sz w:val="22"/>
        </w:rPr>
      </w:pPr>
      <w:hyperlink w:anchor="_Toc256000148"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_Toc256000148 \h </w:instrText>
        </w:r>
        <w:r>
          <w:fldChar w:fldCharType="separate"/>
        </w:r>
        <w:r>
          <w:t>733</w:t>
        </w:r>
        <w:r>
          <w:fldChar w:fldCharType="end"/>
        </w:r>
      </w:hyperlink>
    </w:p>
    <w:p>
      <w:pPr>
        <w:pStyle w:val="TOC3"/>
        <w:rPr>
          <w:rFonts w:ascii="Calibri" w:hAnsi="Calibri"/>
          <w:noProof/>
          <w:sz w:val="22"/>
        </w:rPr>
      </w:pPr>
      <w:hyperlink w:anchor="_Toc256000149"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_Toc256000149 \h </w:instrText>
        </w:r>
        <w:r>
          <w:fldChar w:fldCharType="separate"/>
        </w:r>
        <w:r>
          <w:t>736</w:t>
        </w:r>
        <w:r>
          <w:fldChar w:fldCharType="end"/>
        </w:r>
      </w:hyperlink>
    </w:p>
    <w:p>
      <w:pPr>
        <w:pStyle w:val="TOC3"/>
        <w:rPr>
          <w:rFonts w:ascii="Calibri" w:hAnsi="Calibri"/>
          <w:noProof/>
          <w:sz w:val="22"/>
        </w:rPr>
      </w:pPr>
      <w:hyperlink w:anchor="_Toc256000150"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_Toc256000150 \h </w:instrText>
        </w:r>
        <w:r>
          <w:fldChar w:fldCharType="separate"/>
        </w:r>
        <w:r>
          <w:t>737</w:t>
        </w:r>
        <w:r>
          <w:fldChar w:fldCharType="end"/>
        </w:r>
      </w:hyperlink>
    </w:p>
    <w:p>
      <w:pPr>
        <w:pStyle w:val="TOC3"/>
        <w:rPr>
          <w:rFonts w:ascii="Calibri" w:hAnsi="Calibri"/>
          <w:noProof/>
          <w:sz w:val="22"/>
        </w:rPr>
      </w:pPr>
      <w:hyperlink w:anchor="_Toc256000151"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_Toc256000151 \h </w:instrText>
        </w:r>
        <w:r>
          <w:fldChar w:fldCharType="separate"/>
        </w:r>
        <w:r>
          <w:t>739</w:t>
        </w:r>
        <w:r>
          <w:fldChar w:fldCharType="end"/>
        </w:r>
      </w:hyperlink>
    </w:p>
    <w:p>
      <w:pPr>
        <w:pStyle w:val="TOC3"/>
        <w:rPr>
          <w:rFonts w:ascii="Calibri" w:hAnsi="Calibri"/>
          <w:noProof/>
          <w:sz w:val="22"/>
        </w:rPr>
      </w:pPr>
      <w:hyperlink w:anchor="_Toc256000152"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_Toc256000152 \h </w:instrText>
        </w:r>
        <w:r>
          <w:fldChar w:fldCharType="separate"/>
        </w:r>
        <w:r>
          <w:t>740</w:t>
        </w:r>
        <w:r>
          <w:fldChar w:fldCharType="end"/>
        </w:r>
      </w:hyperlink>
    </w:p>
    <w:p>
      <w:pPr>
        <w:pStyle w:val="TOC3"/>
        <w:rPr>
          <w:rFonts w:ascii="Calibri" w:hAnsi="Calibri"/>
          <w:noProof/>
          <w:sz w:val="22"/>
        </w:rPr>
      </w:pPr>
      <w:hyperlink w:anchor="_Toc256000153"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_Toc256000153 \h </w:instrText>
        </w:r>
        <w:r>
          <w:fldChar w:fldCharType="separate"/>
        </w:r>
        <w:r>
          <w:t>742</w:t>
        </w:r>
        <w:r>
          <w:fldChar w:fldCharType="end"/>
        </w:r>
      </w:hyperlink>
    </w:p>
    <w:p>
      <w:pPr>
        <w:pStyle w:val="TOC3"/>
        <w:rPr>
          <w:rFonts w:ascii="Calibri" w:hAnsi="Calibri"/>
          <w:noProof/>
          <w:sz w:val="22"/>
        </w:rPr>
      </w:pPr>
      <w:hyperlink w:anchor="_Toc256000154"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_Toc256000154 \h </w:instrText>
        </w:r>
        <w:r>
          <w:fldChar w:fldCharType="separate"/>
        </w:r>
        <w:r>
          <w:t>744</w:t>
        </w:r>
        <w:r>
          <w:fldChar w:fldCharType="end"/>
        </w:r>
      </w:hyperlink>
    </w:p>
    <w:p>
      <w:pPr>
        <w:pStyle w:val="TOC3"/>
        <w:rPr>
          <w:rFonts w:ascii="Calibri" w:hAnsi="Calibri"/>
          <w:noProof/>
          <w:sz w:val="22"/>
        </w:rPr>
      </w:pPr>
      <w:hyperlink w:anchor="_Toc256000155"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_Toc256000155 \h </w:instrText>
        </w:r>
        <w:r>
          <w:fldChar w:fldCharType="separate"/>
        </w:r>
        <w:r>
          <w:t>746</w:t>
        </w:r>
        <w:r>
          <w:fldChar w:fldCharType="end"/>
        </w:r>
      </w:hyperlink>
    </w:p>
    <w:p>
      <w:pPr>
        <w:pStyle w:val="TOC3"/>
        <w:rPr>
          <w:rFonts w:ascii="Calibri" w:hAnsi="Calibri"/>
          <w:noProof/>
          <w:sz w:val="22"/>
        </w:rPr>
      </w:pPr>
      <w:hyperlink w:anchor="_Toc256000156"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_Toc256000156 \h </w:instrText>
        </w:r>
        <w:r>
          <w:fldChar w:fldCharType="separate"/>
        </w:r>
        <w:r>
          <w:t>748</w:t>
        </w:r>
        <w:r>
          <w:fldChar w:fldCharType="end"/>
        </w:r>
      </w:hyperlink>
    </w:p>
    <w:p>
      <w:pPr>
        <w:pStyle w:val="TOC3"/>
        <w:rPr>
          <w:rFonts w:ascii="Calibri" w:hAnsi="Calibri"/>
          <w:noProof/>
          <w:sz w:val="22"/>
        </w:rPr>
      </w:pPr>
      <w:hyperlink w:anchor="_Toc256000157"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_Toc256000157 \h </w:instrText>
        </w:r>
        <w:r>
          <w:fldChar w:fldCharType="separate"/>
        </w:r>
        <w:r>
          <w:t>750</w:t>
        </w:r>
        <w:r>
          <w:fldChar w:fldCharType="end"/>
        </w:r>
      </w:hyperlink>
    </w:p>
    <w:p>
      <w:pPr>
        <w:pStyle w:val="TOC3"/>
        <w:rPr>
          <w:rFonts w:ascii="Calibri" w:hAnsi="Calibri"/>
          <w:noProof/>
          <w:sz w:val="22"/>
        </w:rPr>
      </w:pPr>
      <w:hyperlink w:anchor="_Toc256000158"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_Toc256000158 \h </w:instrText>
        </w:r>
        <w:r>
          <w:fldChar w:fldCharType="separate"/>
        </w:r>
        <w:r>
          <w:t>752</w:t>
        </w:r>
        <w:r>
          <w:fldChar w:fldCharType="end"/>
        </w:r>
      </w:hyperlink>
    </w:p>
    <w:p>
      <w:pPr>
        <w:pStyle w:val="TOC3"/>
        <w:rPr>
          <w:rFonts w:ascii="Calibri" w:hAnsi="Calibri"/>
          <w:noProof/>
          <w:sz w:val="22"/>
        </w:rPr>
      </w:pPr>
      <w:hyperlink w:anchor="_Toc256000159"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_Toc256000159 \h </w:instrText>
        </w:r>
        <w:r>
          <w:fldChar w:fldCharType="separate"/>
        </w:r>
        <w:r>
          <w:t>753</w:t>
        </w:r>
        <w:r>
          <w:fldChar w:fldCharType="end"/>
        </w:r>
      </w:hyperlink>
    </w:p>
    <w:p>
      <w:pPr>
        <w:pStyle w:val="TOC3"/>
        <w:rPr>
          <w:rFonts w:ascii="Calibri" w:hAnsi="Calibri"/>
          <w:noProof/>
          <w:sz w:val="22"/>
        </w:rPr>
      </w:pPr>
      <w:hyperlink w:anchor="_Toc256000160"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_Toc256000160 \h </w:instrText>
        </w:r>
        <w:r>
          <w:fldChar w:fldCharType="separate"/>
        </w:r>
        <w:r>
          <w:t>755</w:t>
        </w:r>
        <w:r>
          <w:fldChar w:fldCharType="end"/>
        </w:r>
      </w:hyperlink>
    </w:p>
    <w:p>
      <w:pPr>
        <w:pStyle w:val="TOC3"/>
        <w:rPr>
          <w:rFonts w:ascii="Calibri" w:hAnsi="Calibri"/>
          <w:noProof/>
          <w:sz w:val="22"/>
        </w:rPr>
      </w:pPr>
      <w:hyperlink w:anchor="_Toc256000161"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_Toc256000161 \h </w:instrText>
        </w:r>
        <w:r>
          <w:fldChar w:fldCharType="separate"/>
        </w:r>
        <w:r>
          <w:t>757</w:t>
        </w:r>
        <w:r>
          <w:fldChar w:fldCharType="end"/>
        </w:r>
      </w:hyperlink>
    </w:p>
    <w:p>
      <w:pPr>
        <w:pStyle w:val="TOC3"/>
        <w:rPr>
          <w:rFonts w:ascii="Calibri" w:hAnsi="Calibri"/>
          <w:noProof/>
          <w:sz w:val="22"/>
        </w:rPr>
      </w:pPr>
      <w:hyperlink w:anchor="_Toc256000162" w:history="1">
        <w:r>
          <w:rPr>
            <w:rStyle w:val="Hyperlink"/>
          </w:rPr>
          <w:t>10.3.17.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_Toc256000162 \h </w:instrText>
        </w:r>
        <w:r>
          <w:fldChar w:fldCharType="separate"/>
        </w:r>
        <w:r>
          <w:t>758</w:t>
        </w:r>
        <w:r>
          <w:fldChar w:fldCharType="end"/>
        </w:r>
      </w:hyperlink>
    </w:p>
    <w:p>
      <w:pPr>
        <w:pStyle w:val="TOC2"/>
        <w:rPr>
          <w:rFonts w:ascii="Calibri" w:hAnsi="Calibri"/>
          <w:noProof/>
          <w:sz w:val="22"/>
        </w:rPr>
      </w:pPr>
      <w:hyperlink w:anchor="_Toc256000163"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_Toc256000163 \h </w:instrText>
        </w:r>
        <w:r>
          <w:fldChar w:fldCharType="separate"/>
        </w:r>
        <w:r>
          <w:t>759</w:t>
        </w:r>
        <w:r>
          <w:fldChar w:fldCharType="end"/>
        </w:r>
      </w:hyperlink>
    </w:p>
    <w:p>
      <w:pPr>
        <w:pStyle w:val="TOC1"/>
        <w:rPr>
          <w:rFonts w:ascii="Calibri" w:hAnsi="Calibri"/>
          <w:noProof/>
          <w:sz w:val="22"/>
        </w:rPr>
      </w:pPr>
      <w:hyperlink w:anchor="_Toc256000164"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_Toc256000164 \h </w:instrText>
        </w:r>
        <w:r>
          <w:fldChar w:fldCharType="separate"/>
        </w:r>
        <w:r>
          <w:t>761</w:t>
        </w:r>
        <w:r>
          <w:fldChar w:fldCharType="end"/>
        </w:r>
      </w:hyperlink>
    </w:p>
    <w:p>
      <w:pPr>
        <w:pStyle w:val="TOC2"/>
        <w:rPr>
          <w:rFonts w:ascii="Calibri" w:hAnsi="Calibri"/>
          <w:noProof/>
          <w:sz w:val="22"/>
        </w:rPr>
      </w:pPr>
      <w:hyperlink w:anchor="_Toc256000165"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_Toc256000165 \h </w:instrText>
        </w:r>
        <w:r>
          <w:fldChar w:fldCharType="separate"/>
        </w:r>
        <w:r>
          <w:t>761</w:t>
        </w:r>
        <w:r>
          <w:fldChar w:fldCharType="end"/>
        </w:r>
      </w:hyperlink>
    </w:p>
    <w:p>
      <w:pPr>
        <w:pStyle w:val="TOC3"/>
        <w:rPr>
          <w:rFonts w:ascii="Calibri" w:hAnsi="Calibri"/>
          <w:noProof/>
          <w:sz w:val="22"/>
        </w:rPr>
      </w:pPr>
      <w:hyperlink w:anchor="_Toc256000166"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_Toc256000166 \h </w:instrText>
        </w:r>
        <w:r>
          <w:fldChar w:fldCharType="separate"/>
        </w:r>
        <w:r>
          <w:t>761</w:t>
        </w:r>
        <w:r>
          <w:fldChar w:fldCharType="end"/>
        </w:r>
      </w:hyperlink>
    </w:p>
    <w:p>
      <w:pPr>
        <w:pStyle w:val="TOC3"/>
        <w:rPr>
          <w:rFonts w:ascii="Calibri" w:hAnsi="Calibri"/>
          <w:noProof/>
          <w:sz w:val="22"/>
        </w:rPr>
      </w:pPr>
      <w:hyperlink w:anchor="_Toc256000167"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_Toc256000167 \h </w:instrText>
        </w:r>
        <w:r>
          <w:fldChar w:fldCharType="separate"/>
        </w:r>
        <w:r>
          <w:t>764</w:t>
        </w:r>
        <w:r>
          <w:fldChar w:fldCharType="end"/>
        </w:r>
      </w:hyperlink>
    </w:p>
    <w:p>
      <w:pPr>
        <w:pStyle w:val="TOC3"/>
        <w:rPr>
          <w:rFonts w:ascii="Calibri" w:hAnsi="Calibri"/>
          <w:noProof/>
          <w:sz w:val="22"/>
        </w:rPr>
      </w:pPr>
      <w:hyperlink w:anchor="_Toc256000168"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_Toc256000168 \h </w:instrText>
        </w:r>
        <w:r>
          <w:fldChar w:fldCharType="separate"/>
        </w:r>
        <w:r>
          <w:t>769</w:t>
        </w:r>
        <w:r>
          <w:fldChar w:fldCharType="end"/>
        </w:r>
      </w:hyperlink>
    </w:p>
    <w:p>
      <w:pPr>
        <w:pStyle w:val="TOC3"/>
        <w:rPr>
          <w:rFonts w:ascii="Calibri" w:hAnsi="Calibri"/>
          <w:noProof/>
          <w:sz w:val="22"/>
        </w:rPr>
      </w:pPr>
      <w:hyperlink w:anchor="_Toc256000169"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_Toc256000169 \h </w:instrText>
        </w:r>
        <w:r>
          <w:fldChar w:fldCharType="separate"/>
        </w:r>
        <w:r>
          <w:t>773</w:t>
        </w:r>
        <w:r>
          <w:fldChar w:fldCharType="end"/>
        </w:r>
      </w:hyperlink>
    </w:p>
    <w:p>
      <w:pPr>
        <w:pStyle w:val="TOC3"/>
        <w:rPr>
          <w:rFonts w:ascii="Calibri" w:hAnsi="Calibri"/>
          <w:noProof/>
          <w:sz w:val="22"/>
        </w:rPr>
      </w:pPr>
      <w:hyperlink w:anchor="_Toc256000170"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_Toc256000170 \h </w:instrText>
        </w:r>
        <w:r>
          <w:fldChar w:fldCharType="separate"/>
        </w:r>
        <w:r>
          <w:t>778</w:t>
        </w:r>
        <w:r>
          <w:fldChar w:fldCharType="end"/>
        </w:r>
      </w:hyperlink>
    </w:p>
    <w:p>
      <w:pPr>
        <w:pStyle w:val="TOC3"/>
        <w:rPr>
          <w:rFonts w:ascii="Calibri" w:hAnsi="Calibri"/>
          <w:noProof/>
          <w:sz w:val="22"/>
        </w:rPr>
      </w:pPr>
      <w:hyperlink w:anchor="_Toc256000171"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_Toc256000171 \h </w:instrText>
        </w:r>
        <w:r>
          <w:fldChar w:fldCharType="separate"/>
        </w:r>
        <w:r>
          <w:t>786</w:t>
        </w:r>
        <w:r>
          <w:fldChar w:fldCharType="end"/>
        </w:r>
      </w:hyperlink>
    </w:p>
    <w:p>
      <w:pPr>
        <w:pStyle w:val="TOC2"/>
        <w:rPr>
          <w:rFonts w:ascii="Calibri" w:hAnsi="Calibri"/>
          <w:noProof/>
          <w:sz w:val="22"/>
        </w:rPr>
      </w:pPr>
      <w:hyperlink w:anchor="_Toc256000172"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_Toc256000172 \h </w:instrText>
        </w:r>
        <w:r>
          <w:fldChar w:fldCharType="separate"/>
        </w:r>
        <w:r>
          <w:t>791</w:t>
        </w:r>
        <w:r>
          <w:fldChar w:fldCharType="end"/>
        </w:r>
      </w:hyperlink>
    </w:p>
    <w:p>
      <w:pPr>
        <w:pStyle w:val="TOC2"/>
        <w:rPr>
          <w:rFonts w:ascii="Calibri" w:hAnsi="Calibri"/>
          <w:noProof/>
          <w:sz w:val="22"/>
        </w:rPr>
      </w:pPr>
      <w:hyperlink w:anchor="_Toc256000173"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_Toc256000173 \h </w:instrText>
        </w:r>
        <w:r>
          <w:fldChar w:fldCharType="separate"/>
        </w:r>
        <w:r>
          <w:t>797</w:t>
        </w:r>
        <w:r>
          <w:fldChar w:fldCharType="end"/>
        </w:r>
      </w:hyperlink>
    </w:p>
    <w:p>
      <w:pPr>
        <w:pStyle w:val="TOC2"/>
        <w:rPr>
          <w:rFonts w:ascii="Calibri" w:hAnsi="Calibri"/>
          <w:noProof/>
          <w:sz w:val="22"/>
        </w:rPr>
      </w:pPr>
      <w:hyperlink w:anchor="_Toc256000174"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_Toc256000174 \h </w:instrText>
        </w:r>
        <w:r>
          <w:fldChar w:fldCharType="separate"/>
        </w:r>
        <w:r>
          <w:t>806</w:t>
        </w:r>
        <w:r>
          <w:fldChar w:fldCharType="end"/>
        </w:r>
      </w:hyperlink>
    </w:p>
    <w:p>
      <w:pPr>
        <w:pStyle w:val="TOC3"/>
        <w:rPr>
          <w:rFonts w:ascii="Calibri" w:hAnsi="Calibri"/>
          <w:noProof/>
          <w:sz w:val="22"/>
        </w:rPr>
      </w:pPr>
      <w:hyperlink w:anchor="_Toc256000175"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_Toc256000175 \h </w:instrText>
        </w:r>
        <w:r>
          <w:fldChar w:fldCharType="separate"/>
        </w:r>
        <w:r>
          <w:t>806</w:t>
        </w:r>
        <w:r>
          <w:fldChar w:fldCharType="end"/>
        </w:r>
      </w:hyperlink>
    </w:p>
    <w:p>
      <w:pPr>
        <w:pStyle w:val="TOC3"/>
        <w:rPr>
          <w:rFonts w:ascii="Calibri" w:hAnsi="Calibri"/>
          <w:noProof/>
          <w:sz w:val="22"/>
        </w:rPr>
      </w:pPr>
      <w:hyperlink w:anchor="_Toc256000176"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_Toc256000176 \h </w:instrText>
        </w:r>
        <w:r>
          <w:fldChar w:fldCharType="separate"/>
        </w:r>
        <w:r>
          <w:t>810</w:t>
        </w:r>
        <w:r>
          <w:fldChar w:fldCharType="end"/>
        </w:r>
      </w:hyperlink>
    </w:p>
    <w:p>
      <w:pPr>
        <w:pStyle w:val="TOC2"/>
        <w:rPr>
          <w:rFonts w:ascii="Calibri" w:hAnsi="Calibri"/>
          <w:noProof/>
          <w:sz w:val="22"/>
        </w:rPr>
      </w:pPr>
      <w:hyperlink w:anchor="_Toc256000177"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_Toc256000177 \h </w:instrText>
        </w:r>
        <w:r>
          <w:fldChar w:fldCharType="separate"/>
        </w:r>
        <w:r>
          <w:t>811</w:t>
        </w:r>
        <w:r>
          <w:fldChar w:fldCharType="end"/>
        </w:r>
      </w:hyperlink>
    </w:p>
    <w:p>
      <w:pPr>
        <w:pStyle w:val="TOC1"/>
        <w:rPr>
          <w:rFonts w:ascii="Calibri" w:hAnsi="Calibri"/>
          <w:noProof/>
          <w:sz w:val="22"/>
        </w:rPr>
      </w:pPr>
      <w:hyperlink w:anchor="_Toc256000178"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_Toc256000178 \h </w:instrText>
        </w:r>
        <w:r>
          <w:fldChar w:fldCharType="separate"/>
        </w:r>
        <w:r>
          <w:t>812</w:t>
        </w:r>
        <w:r>
          <w:fldChar w:fldCharType="end"/>
        </w:r>
      </w:hyperlink>
    </w:p>
    <w:p>
      <w:pPr>
        <w:pStyle w:val="TOC2"/>
        <w:rPr>
          <w:rFonts w:ascii="Calibri" w:hAnsi="Calibri"/>
          <w:noProof/>
          <w:sz w:val="22"/>
        </w:rPr>
      </w:pPr>
      <w:hyperlink w:anchor="_Toc256000179"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_Toc256000179 \h </w:instrText>
        </w:r>
        <w:r>
          <w:fldChar w:fldCharType="separate"/>
        </w:r>
        <w:r>
          <w:t>812</w:t>
        </w:r>
        <w:r>
          <w:fldChar w:fldCharType="end"/>
        </w:r>
      </w:hyperlink>
    </w:p>
    <w:p>
      <w:pPr>
        <w:pStyle w:val="TOC2"/>
        <w:rPr>
          <w:rFonts w:ascii="Calibri" w:hAnsi="Calibri"/>
          <w:noProof/>
          <w:sz w:val="22"/>
        </w:rPr>
      </w:pPr>
      <w:hyperlink w:anchor="_Toc256000180"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_Toc256000180 \h </w:instrText>
        </w:r>
        <w:r>
          <w:fldChar w:fldCharType="separate"/>
        </w:r>
        <w:r>
          <w:t>813</w:t>
        </w:r>
        <w:r>
          <w:fldChar w:fldCharType="end"/>
        </w:r>
      </w:hyperlink>
    </w:p>
    <w:p>
      <w:pPr>
        <w:pStyle w:val="TOC2"/>
        <w:rPr>
          <w:rFonts w:ascii="Calibri" w:hAnsi="Calibri"/>
          <w:noProof/>
          <w:sz w:val="22"/>
        </w:rPr>
      </w:pPr>
      <w:hyperlink w:anchor="_Toc256000181"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_Toc256000181 \h </w:instrText>
        </w:r>
        <w:r>
          <w:fldChar w:fldCharType="separate"/>
        </w:r>
        <w:r>
          <w:t>813</w:t>
        </w:r>
        <w:r>
          <w:fldChar w:fldCharType="end"/>
        </w:r>
      </w:hyperlink>
    </w:p>
    <w:p>
      <w:pPr>
        <w:pStyle w:val="TOC2"/>
        <w:rPr>
          <w:rFonts w:ascii="Calibri" w:hAnsi="Calibri"/>
          <w:noProof/>
          <w:sz w:val="22"/>
        </w:rPr>
      </w:pPr>
      <w:hyperlink w:anchor="_Toc256000182"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_Toc256000182 \h </w:instrText>
        </w:r>
        <w:r>
          <w:fldChar w:fldCharType="separate"/>
        </w:r>
        <w:r>
          <w:t>813</w:t>
        </w:r>
        <w:r>
          <w:fldChar w:fldCharType="end"/>
        </w:r>
      </w:hyperlink>
    </w:p>
    <w:p>
      <w:pPr>
        <w:pStyle w:val="TOC2"/>
        <w:rPr>
          <w:rFonts w:ascii="Calibri" w:hAnsi="Calibri"/>
          <w:noProof/>
          <w:sz w:val="22"/>
        </w:rPr>
      </w:pPr>
      <w:hyperlink w:anchor="_Toc256000183"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_Toc256000183 \h </w:instrText>
        </w:r>
        <w:r>
          <w:fldChar w:fldCharType="separate"/>
        </w:r>
        <w:r>
          <w:t>813</w:t>
        </w:r>
        <w:r>
          <w:fldChar w:fldCharType="end"/>
        </w:r>
      </w:hyperlink>
    </w:p>
    <w:p>
      <w:pPr>
        <w:pStyle w:val="TOC2"/>
        <w:rPr>
          <w:rFonts w:ascii="Calibri" w:hAnsi="Calibri"/>
          <w:noProof/>
          <w:sz w:val="22"/>
        </w:rPr>
      </w:pPr>
      <w:hyperlink w:anchor="_Toc256000184"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_Toc256000184 \h </w:instrText>
        </w:r>
        <w:r>
          <w:fldChar w:fldCharType="separate"/>
        </w:r>
        <w:r>
          <w:t>814</w:t>
        </w:r>
        <w:r>
          <w:fldChar w:fldCharType="end"/>
        </w:r>
      </w:hyperlink>
    </w:p>
    <w:p>
      <w:pPr>
        <w:pStyle w:val="TOC2"/>
        <w:rPr>
          <w:rFonts w:ascii="Calibri" w:hAnsi="Calibri"/>
          <w:noProof/>
          <w:sz w:val="22"/>
        </w:rPr>
      </w:pPr>
      <w:hyperlink w:anchor="_Toc256000185"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_Toc256000185 \h </w:instrText>
        </w:r>
        <w:r>
          <w:fldChar w:fldCharType="separate"/>
        </w:r>
        <w:r>
          <w:t>814</w:t>
        </w:r>
        <w:r>
          <w:fldChar w:fldCharType="end"/>
        </w:r>
      </w:hyperlink>
    </w:p>
    <w:p>
      <w:pPr>
        <w:pStyle w:val="TOC2"/>
        <w:rPr>
          <w:rFonts w:ascii="Calibri" w:hAnsi="Calibri"/>
          <w:noProof/>
          <w:sz w:val="22"/>
        </w:rPr>
      </w:pPr>
      <w:hyperlink w:anchor="_Toc256000186"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_Toc256000186 \h </w:instrText>
        </w:r>
        <w:r>
          <w:fldChar w:fldCharType="separate"/>
        </w:r>
        <w:r>
          <w:t>814</w:t>
        </w:r>
        <w:r>
          <w:fldChar w:fldCharType="end"/>
        </w:r>
      </w:hyperlink>
    </w:p>
    <w:p>
      <w:pPr>
        <w:pStyle w:val="TOC2"/>
        <w:rPr>
          <w:rFonts w:ascii="Calibri" w:hAnsi="Calibri"/>
          <w:noProof/>
          <w:sz w:val="22"/>
        </w:rPr>
      </w:pPr>
      <w:hyperlink w:anchor="_Toc256000187"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_Toc256000187 \h </w:instrText>
        </w:r>
        <w:r>
          <w:fldChar w:fldCharType="separate"/>
        </w:r>
        <w:r>
          <w:t>814</w:t>
        </w:r>
        <w:r>
          <w:fldChar w:fldCharType="end"/>
        </w:r>
      </w:hyperlink>
    </w:p>
    <w:p>
      <w:pPr>
        <w:pStyle w:val="TOC2"/>
        <w:rPr>
          <w:rFonts w:ascii="Calibri" w:hAnsi="Calibri"/>
          <w:noProof/>
          <w:sz w:val="22"/>
        </w:rPr>
      </w:pPr>
      <w:hyperlink w:anchor="_Toc256000188"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_Toc256000188 \h </w:instrText>
        </w:r>
        <w:r>
          <w:fldChar w:fldCharType="separate"/>
        </w:r>
        <w:r>
          <w:t>814</w:t>
        </w:r>
        <w:r>
          <w:fldChar w:fldCharType="end"/>
        </w:r>
      </w:hyperlink>
    </w:p>
    <w:p>
      <w:pPr>
        <w:pStyle w:val="TOC2"/>
        <w:rPr>
          <w:rFonts w:ascii="Calibri" w:hAnsi="Calibri"/>
          <w:noProof/>
          <w:sz w:val="22"/>
        </w:rPr>
      </w:pPr>
      <w:hyperlink w:anchor="_Toc256000189"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_Toc256000189 \h </w:instrText>
        </w:r>
        <w:r>
          <w:fldChar w:fldCharType="separate"/>
        </w:r>
        <w:r>
          <w:t>815</w:t>
        </w:r>
        <w:r>
          <w:fldChar w:fldCharType="end"/>
        </w:r>
      </w:hyperlink>
    </w:p>
    <w:p>
      <w:pPr>
        <w:pStyle w:val="TOC2"/>
        <w:rPr>
          <w:rFonts w:ascii="Calibri" w:hAnsi="Calibri"/>
          <w:noProof/>
          <w:sz w:val="22"/>
        </w:rPr>
      </w:pPr>
      <w:hyperlink w:anchor="_Toc256000190"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_Toc256000190 \h </w:instrText>
        </w:r>
        <w:r>
          <w:fldChar w:fldCharType="separate"/>
        </w:r>
        <w:r>
          <w:t>815</w:t>
        </w:r>
        <w:r>
          <w:fldChar w:fldCharType="end"/>
        </w:r>
      </w:hyperlink>
    </w:p>
    <w:p>
      <w:pPr>
        <w:pStyle w:val="TOC2"/>
        <w:rPr>
          <w:rFonts w:ascii="Calibri" w:hAnsi="Calibri"/>
          <w:noProof/>
          <w:sz w:val="22"/>
        </w:rPr>
      </w:pPr>
      <w:hyperlink w:anchor="_Toc256000191"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_Toc256000191 \h </w:instrText>
        </w:r>
        <w:r>
          <w:fldChar w:fldCharType="separate"/>
        </w:r>
        <w:r>
          <w:t>815</w:t>
        </w:r>
        <w:r>
          <w:fldChar w:fldCharType="end"/>
        </w:r>
      </w:hyperlink>
    </w:p>
    <w:p>
      <w:pPr>
        <w:pStyle w:val="TOC2"/>
        <w:rPr>
          <w:rFonts w:ascii="Calibri" w:hAnsi="Calibri"/>
          <w:noProof/>
          <w:sz w:val="22"/>
        </w:rPr>
      </w:pPr>
      <w:hyperlink w:anchor="_Toc256000192"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_Toc256000192 \h </w:instrText>
        </w:r>
        <w:r>
          <w:fldChar w:fldCharType="separate"/>
        </w:r>
        <w:r>
          <w:t>815</w:t>
        </w:r>
        <w:r>
          <w:fldChar w:fldCharType="end"/>
        </w:r>
      </w:hyperlink>
    </w:p>
    <w:p>
      <w:pPr>
        <w:pStyle w:val="TOC2"/>
        <w:rPr>
          <w:rFonts w:ascii="Calibri" w:hAnsi="Calibri"/>
          <w:noProof/>
          <w:sz w:val="22"/>
        </w:rPr>
      </w:pPr>
      <w:hyperlink w:anchor="_Toc256000193"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_Toc256000193 \h </w:instrText>
        </w:r>
        <w:r>
          <w:fldChar w:fldCharType="separate"/>
        </w:r>
        <w:r>
          <w:t>816</w:t>
        </w:r>
        <w:r>
          <w:fldChar w:fldCharType="end"/>
        </w:r>
      </w:hyperlink>
    </w:p>
    <w:p>
      <w:pPr>
        <w:pStyle w:val="TOC2"/>
        <w:rPr>
          <w:rFonts w:ascii="Calibri" w:hAnsi="Calibri"/>
          <w:noProof/>
          <w:sz w:val="22"/>
        </w:rPr>
      </w:pPr>
      <w:hyperlink w:anchor="_Toc256000194"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_Toc256000194 \h </w:instrText>
        </w:r>
        <w:r>
          <w:fldChar w:fldCharType="separate"/>
        </w:r>
        <w:r>
          <w:t>816</w:t>
        </w:r>
        <w:r>
          <w:fldChar w:fldCharType="end"/>
        </w:r>
      </w:hyperlink>
    </w:p>
    <w:p>
      <w:pPr>
        <w:pStyle w:val="TOC2"/>
        <w:rPr>
          <w:rFonts w:ascii="Calibri" w:hAnsi="Calibri"/>
          <w:noProof/>
          <w:sz w:val="22"/>
        </w:rPr>
      </w:pPr>
      <w:hyperlink w:anchor="_Toc256000195" w:history="1">
        <w:r>
          <w:rPr>
            <w:rStyle w:val="Hyperlink"/>
          </w:rPr>
          <w:t>12.17.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_Toc256000195 \h </w:instrText>
        </w:r>
        <w:r>
          <w:fldChar w:fldCharType="separate"/>
        </w:r>
        <w:r>
          <w:t>816</w:t>
        </w:r>
        <w:r>
          <w:fldChar w:fldCharType="end"/>
        </w:r>
      </w:hyperlink>
    </w:p>
    <w:p>
      <w:pPr>
        <w:pStyle w:val="TOC1"/>
        <w:rPr>
          <w:rFonts w:ascii="Calibri" w:hAnsi="Calibri"/>
          <w:noProof/>
          <w:sz w:val="22"/>
        </w:rPr>
      </w:pPr>
      <w:hyperlink w:anchor="_Toc256000196"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_Toc256000196 \h </w:instrText>
        </w:r>
        <w:r>
          <w:fldChar w:fldCharType="separate"/>
        </w:r>
        <w:r>
          <w:t>817</w:t>
        </w:r>
        <w:r>
          <w:fldChar w:fldCharType="end"/>
        </w:r>
      </w:hyperlink>
    </w:p>
    <w:p>
      <w:pPr>
        <w:pStyle w:val="TOC2"/>
        <w:rPr>
          <w:rFonts w:ascii="Calibri" w:hAnsi="Calibri"/>
          <w:noProof/>
          <w:sz w:val="22"/>
        </w:rPr>
      </w:pPr>
      <w:hyperlink w:anchor="_Toc256000197"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_Toc256000197 \h </w:instrText>
        </w:r>
        <w:r>
          <w:fldChar w:fldCharType="separate"/>
        </w:r>
        <w:r>
          <w:t>820</w:t>
        </w:r>
        <w:r>
          <w:fldChar w:fldCharType="end"/>
        </w:r>
      </w:hyperlink>
    </w:p>
    <w:p>
      <w:pPr>
        <w:pStyle w:val="TOC2"/>
        <w:rPr>
          <w:rFonts w:ascii="Calibri" w:hAnsi="Calibri"/>
          <w:noProof/>
          <w:sz w:val="22"/>
        </w:rPr>
      </w:pPr>
      <w:hyperlink w:anchor="_Toc256000198"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_Toc256000198 \h </w:instrText>
        </w:r>
        <w:r>
          <w:fldChar w:fldCharType="separate"/>
        </w:r>
        <w:r>
          <w:t>820</w:t>
        </w:r>
        <w:r>
          <w:fldChar w:fldCharType="end"/>
        </w:r>
      </w:hyperlink>
    </w:p>
    <w:p>
      <w:pPr>
        <w:pStyle w:val="TOC2"/>
        <w:rPr>
          <w:rFonts w:ascii="Calibri" w:hAnsi="Calibri"/>
          <w:noProof/>
          <w:sz w:val="22"/>
        </w:rPr>
      </w:pPr>
      <w:hyperlink w:anchor="_Toc256000199"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_Toc256000199 \h </w:instrText>
        </w:r>
        <w:r>
          <w:fldChar w:fldCharType="separate"/>
        </w:r>
        <w:r>
          <w:t>821</w:t>
        </w:r>
        <w:r>
          <w:fldChar w:fldCharType="end"/>
        </w:r>
      </w:hyperlink>
    </w:p>
    <w:p>
      <w:pPr>
        <w:pStyle w:val="TOC2"/>
        <w:rPr>
          <w:rFonts w:ascii="Calibri" w:hAnsi="Calibri"/>
          <w:noProof/>
          <w:sz w:val="22"/>
        </w:rPr>
      </w:pPr>
      <w:hyperlink w:anchor="_Toc256000200"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_Toc256000200 \h </w:instrText>
        </w:r>
        <w:r>
          <w:fldChar w:fldCharType="separate"/>
        </w:r>
        <w:r>
          <w:t>821</w:t>
        </w:r>
        <w:r>
          <w:fldChar w:fldCharType="end"/>
        </w:r>
      </w:hyperlink>
    </w:p>
    <w:p>
      <w:pPr>
        <w:pStyle w:val="TOC2"/>
        <w:rPr>
          <w:rFonts w:ascii="Calibri" w:hAnsi="Calibri"/>
          <w:noProof/>
          <w:sz w:val="22"/>
        </w:rPr>
      </w:pPr>
      <w:hyperlink w:anchor="_Toc256000201"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_Toc256000201 \h </w:instrText>
        </w:r>
        <w:r>
          <w:fldChar w:fldCharType="separate"/>
        </w:r>
        <w:r>
          <w:t>822</w:t>
        </w:r>
        <w:r>
          <w:fldChar w:fldCharType="end"/>
        </w:r>
      </w:hyperlink>
    </w:p>
    <w:p>
      <w:pPr>
        <w:pStyle w:val="TOC2"/>
        <w:rPr>
          <w:rFonts w:ascii="Calibri" w:hAnsi="Calibri"/>
          <w:noProof/>
          <w:sz w:val="22"/>
        </w:rPr>
      </w:pPr>
      <w:hyperlink w:anchor="_Toc256000202"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_Toc256000202 \h </w:instrText>
        </w:r>
        <w:r>
          <w:fldChar w:fldCharType="separate"/>
        </w:r>
        <w:r>
          <w:t>822</w:t>
        </w:r>
        <w:r>
          <w:fldChar w:fldCharType="end"/>
        </w:r>
      </w:hyperlink>
    </w:p>
    <w:p>
      <w:pPr>
        <w:pStyle w:val="TOC2"/>
        <w:rPr>
          <w:rFonts w:ascii="Calibri" w:hAnsi="Calibri"/>
          <w:noProof/>
          <w:sz w:val="22"/>
        </w:rPr>
      </w:pPr>
      <w:hyperlink w:anchor="_Toc256000203"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_Toc256000203 \h </w:instrText>
        </w:r>
        <w:r>
          <w:fldChar w:fldCharType="separate"/>
        </w:r>
        <w:r>
          <w:t>823</w:t>
        </w:r>
        <w:r>
          <w:fldChar w:fldCharType="end"/>
        </w:r>
      </w:hyperlink>
    </w:p>
    <w:p>
      <w:pPr>
        <w:pStyle w:val="TOC2"/>
        <w:rPr>
          <w:rFonts w:ascii="Calibri" w:hAnsi="Calibri"/>
          <w:noProof/>
          <w:sz w:val="22"/>
        </w:rPr>
      </w:pPr>
      <w:hyperlink w:anchor="_Toc256000204"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_Toc256000204 \h </w:instrText>
        </w:r>
        <w:r>
          <w:fldChar w:fldCharType="separate"/>
        </w:r>
        <w:r>
          <w:t>823</w:t>
        </w:r>
        <w:r>
          <w:fldChar w:fldCharType="end"/>
        </w:r>
      </w:hyperlink>
    </w:p>
    <w:p>
      <w:pPr>
        <w:pStyle w:val="TOC2"/>
        <w:rPr>
          <w:rFonts w:ascii="Calibri" w:hAnsi="Calibri"/>
          <w:noProof/>
          <w:sz w:val="22"/>
        </w:rPr>
      </w:pPr>
      <w:hyperlink w:anchor="_Toc256000205"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_Toc256000205 \h </w:instrText>
        </w:r>
        <w:r>
          <w:fldChar w:fldCharType="separate"/>
        </w:r>
        <w:r>
          <w:t>824</w:t>
        </w:r>
        <w:r>
          <w:fldChar w:fldCharType="end"/>
        </w:r>
      </w:hyperlink>
    </w:p>
    <w:p>
      <w:pPr>
        <w:pStyle w:val="TOC2"/>
        <w:rPr>
          <w:rFonts w:ascii="Calibri" w:hAnsi="Calibri"/>
          <w:noProof/>
          <w:sz w:val="22"/>
        </w:rPr>
      </w:pPr>
      <w:hyperlink w:anchor="_Toc256000206"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_Toc256000206 \h </w:instrText>
        </w:r>
        <w:r>
          <w:fldChar w:fldCharType="separate"/>
        </w:r>
        <w:r>
          <w:t>824</w:t>
        </w:r>
        <w:r>
          <w:fldChar w:fldCharType="end"/>
        </w:r>
      </w:hyperlink>
    </w:p>
    <w:p>
      <w:pPr>
        <w:pStyle w:val="TOC2"/>
        <w:rPr>
          <w:rFonts w:ascii="Calibri" w:hAnsi="Calibri"/>
          <w:noProof/>
          <w:sz w:val="22"/>
        </w:rPr>
      </w:pPr>
      <w:hyperlink w:anchor="_Toc256000207"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_Toc256000207 \h </w:instrText>
        </w:r>
        <w:r>
          <w:fldChar w:fldCharType="separate"/>
        </w:r>
        <w:r>
          <w:t>825</w:t>
        </w:r>
        <w:r>
          <w:fldChar w:fldCharType="end"/>
        </w:r>
      </w:hyperlink>
    </w:p>
    <w:p>
      <w:pPr>
        <w:pStyle w:val="TOC2"/>
        <w:rPr>
          <w:rFonts w:ascii="Calibri" w:hAnsi="Calibri"/>
          <w:noProof/>
          <w:sz w:val="22"/>
        </w:rPr>
      </w:pPr>
      <w:hyperlink w:anchor="_Toc256000208"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_Toc256000208 \h </w:instrText>
        </w:r>
        <w:r>
          <w:fldChar w:fldCharType="separate"/>
        </w:r>
        <w:r>
          <w:t>825</w:t>
        </w:r>
        <w:r>
          <w:fldChar w:fldCharType="end"/>
        </w:r>
      </w:hyperlink>
    </w:p>
    <w:p>
      <w:pPr>
        <w:pStyle w:val="TOC2"/>
        <w:rPr>
          <w:rFonts w:ascii="Calibri" w:hAnsi="Calibri"/>
          <w:noProof/>
          <w:sz w:val="22"/>
        </w:rPr>
      </w:pPr>
      <w:hyperlink w:anchor="_Toc256000209"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826</w:t>
        </w:r>
        <w:r>
          <w:fldChar w:fldCharType="end"/>
        </w:r>
      </w:hyperlink>
    </w:p>
    <w:p>
      <w:pPr>
        <w:pStyle w:val="TOC2"/>
        <w:rPr>
          <w:rFonts w:ascii="Calibri" w:hAnsi="Calibri"/>
          <w:noProof/>
          <w:sz w:val="22"/>
        </w:rPr>
      </w:pPr>
      <w:hyperlink w:anchor="_Toc256000210"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_Toc256000210 \h </w:instrText>
        </w:r>
        <w:r>
          <w:fldChar w:fldCharType="separate"/>
        </w:r>
        <w:r>
          <w:t>826</w:t>
        </w:r>
        <w:r>
          <w:fldChar w:fldCharType="end"/>
        </w:r>
      </w:hyperlink>
    </w:p>
    <w:p>
      <w:pPr>
        <w:pStyle w:val="TOC2"/>
        <w:rPr>
          <w:rFonts w:ascii="Calibri" w:hAnsi="Calibri"/>
          <w:noProof/>
          <w:sz w:val="22"/>
        </w:rPr>
      </w:pPr>
      <w:hyperlink w:anchor="_Toc256000211"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_Toc256000211 \h </w:instrText>
        </w:r>
        <w:r>
          <w:fldChar w:fldCharType="separate"/>
        </w:r>
        <w:r>
          <w:t>827</w:t>
        </w:r>
        <w:r>
          <w:fldChar w:fldCharType="end"/>
        </w:r>
      </w:hyperlink>
    </w:p>
    <w:p>
      <w:pPr>
        <w:pStyle w:val="TOC2"/>
        <w:rPr>
          <w:rFonts w:ascii="Calibri" w:hAnsi="Calibri"/>
          <w:noProof/>
          <w:sz w:val="22"/>
        </w:rPr>
      </w:pPr>
      <w:hyperlink w:anchor="_Toc256000212"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_Toc256000212 \h </w:instrText>
        </w:r>
        <w:r>
          <w:fldChar w:fldCharType="separate"/>
        </w:r>
        <w:r>
          <w:t>827</w:t>
        </w:r>
        <w:r>
          <w:fldChar w:fldCharType="end"/>
        </w:r>
      </w:hyperlink>
    </w:p>
    <w:p>
      <w:pPr>
        <w:pStyle w:val="TOC2"/>
        <w:rPr>
          <w:rFonts w:ascii="Calibri" w:hAnsi="Calibri"/>
          <w:noProof/>
          <w:sz w:val="22"/>
        </w:rPr>
      </w:pPr>
      <w:hyperlink w:anchor="_Toc256000213"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_Toc256000213 \h </w:instrText>
        </w:r>
        <w:r>
          <w:fldChar w:fldCharType="separate"/>
        </w:r>
        <w:r>
          <w:t>828</w:t>
        </w:r>
        <w:r>
          <w:fldChar w:fldCharType="end"/>
        </w:r>
      </w:hyperlink>
    </w:p>
    <w:p>
      <w:pPr>
        <w:pStyle w:val="TOC2"/>
        <w:rPr>
          <w:rFonts w:ascii="Calibri" w:hAnsi="Calibri"/>
          <w:noProof/>
          <w:sz w:val="22"/>
        </w:rPr>
      </w:pPr>
      <w:hyperlink w:anchor="_Toc256000214"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_Toc256000214 \h </w:instrText>
        </w:r>
        <w:r>
          <w:fldChar w:fldCharType="separate"/>
        </w:r>
        <w:r>
          <w:t>828</w:t>
        </w:r>
        <w:r>
          <w:fldChar w:fldCharType="end"/>
        </w:r>
      </w:hyperlink>
    </w:p>
    <w:p>
      <w:pPr>
        <w:pStyle w:val="TOC2"/>
        <w:rPr>
          <w:rFonts w:ascii="Calibri" w:hAnsi="Calibri"/>
          <w:noProof/>
          <w:sz w:val="22"/>
        </w:rPr>
      </w:pPr>
      <w:hyperlink w:anchor="_Toc256000215"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_Toc256000215 \h </w:instrText>
        </w:r>
        <w:r>
          <w:fldChar w:fldCharType="separate"/>
        </w:r>
        <w:r>
          <w:t>828</w:t>
        </w:r>
        <w:r>
          <w:fldChar w:fldCharType="end"/>
        </w:r>
      </w:hyperlink>
    </w:p>
    <w:p>
      <w:pPr>
        <w:pStyle w:val="TOC2"/>
        <w:rPr>
          <w:rFonts w:ascii="Calibri" w:hAnsi="Calibri"/>
          <w:noProof/>
          <w:sz w:val="22"/>
        </w:rPr>
      </w:pPr>
      <w:hyperlink w:anchor="_Toc256000216"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_Toc256000216 \h </w:instrText>
        </w:r>
        <w:r>
          <w:fldChar w:fldCharType="separate"/>
        </w:r>
        <w:r>
          <w:t>829</w:t>
        </w:r>
        <w:r>
          <w:fldChar w:fldCharType="end"/>
        </w:r>
      </w:hyperlink>
    </w:p>
    <w:p>
      <w:pPr>
        <w:pStyle w:val="TOC2"/>
        <w:rPr>
          <w:rFonts w:ascii="Calibri" w:hAnsi="Calibri"/>
          <w:noProof/>
          <w:sz w:val="22"/>
        </w:rPr>
      </w:pPr>
      <w:hyperlink w:anchor="_Toc256000217"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_Toc256000217 \h </w:instrText>
        </w:r>
        <w:r>
          <w:fldChar w:fldCharType="separate"/>
        </w:r>
        <w:r>
          <w:t>829</w:t>
        </w:r>
        <w:r>
          <w:fldChar w:fldCharType="end"/>
        </w:r>
      </w:hyperlink>
    </w:p>
    <w:p>
      <w:pPr>
        <w:pStyle w:val="TOC2"/>
        <w:rPr>
          <w:rFonts w:ascii="Calibri" w:hAnsi="Calibri"/>
          <w:noProof/>
          <w:sz w:val="22"/>
        </w:rPr>
      </w:pPr>
      <w:hyperlink w:anchor="_Toc256000218"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_Toc256000218 \h </w:instrText>
        </w:r>
        <w:r>
          <w:fldChar w:fldCharType="separate"/>
        </w:r>
        <w:r>
          <w:t>830</w:t>
        </w:r>
        <w:r>
          <w:fldChar w:fldCharType="end"/>
        </w:r>
      </w:hyperlink>
    </w:p>
    <w:p>
      <w:pPr>
        <w:pStyle w:val="TOC2"/>
        <w:rPr>
          <w:rFonts w:ascii="Calibri" w:hAnsi="Calibri"/>
          <w:noProof/>
          <w:sz w:val="22"/>
        </w:rPr>
      </w:pPr>
      <w:hyperlink w:anchor="_Toc256000219" w:history="1">
        <w:r>
          <w:rPr>
            <w:rStyle w:val="Hyperlink"/>
          </w:rPr>
          <w:t>13.23.</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_Toc256000219 \h </w:instrText>
        </w:r>
        <w:r>
          <w:fldChar w:fldCharType="separate"/>
        </w:r>
        <w:r>
          <w:t>830</w:t>
        </w:r>
        <w:r>
          <w:fldChar w:fldCharType="end"/>
        </w:r>
      </w:hyperlink>
    </w:p>
    <w:p>
      <w:pPr>
        <w:pStyle w:val="TOC1"/>
        <w:rPr>
          <w:rFonts w:ascii="Calibri" w:hAnsi="Calibri"/>
          <w:noProof/>
          <w:sz w:val="22"/>
        </w:rPr>
      </w:pPr>
      <w:hyperlink w:anchor="_Toc256000220"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_Toc256000220 \h </w:instrText>
        </w:r>
        <w:r>
          <w:fldChar w:fldCharType="separate"/>
        </w:r>
        <w:r>
          <w:t>832</w:t>
        </w:r>
        <w:r>
          <w:fldChar w:fldCharType="end"/>
        </w:r>
      </w:hyperlink>
    </w:p>
    <w:p>
      <w:pPr>
        <w:pStyle w:val="TOC2"/>
        <w:rPr>
          <w:rFonts w:ascii="Calibri" w:hAnsi="Calibri"/>
          <w:noProof/>
          <w:sz w:val="22"/>
        </w:rPr>
      </w:pPr>
      <w:hyperlink w:anchor="_Toc256000221"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_Toc256000221 \h </w:instrText>
        </w:r>
        <w:r>
          <w:fldChar w:fldCharType="separate"/>
        </w:r>
        <w:r>
          <w:t>832</w:t>
        </w:r>
        <w:r>
          <w:fldChar w:fldCharType="end"/>
        </w:r>
      </w:hyperlink>
    </w:p>
    <w:p>
      <w:pPr>
        <w:pStyle w:val="TOC3"/>
        <w:rPr>
          <w:rFonts w:ascii="Calibri" w:hAnsi="Calibri"/>
          <w:noProof/>
          <w:sz w:val="22"/>
        </w:rPr>
      </w:pPr>
      <w:hyperlink w:anchor="_Toc256000222"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_Toc256000222 \h </w:instrText>
        </w:r>
        <w:r>
          <w:fldChar w:fldCharType="separate"/>
        </w:r>
        <w:r>
          <w:t>832</w:t>
        </w:r>
        <w:r>
          <w:fldChar w:fldCharType="end"/>
        </w:r>
      </w:hyperlink>
    </w:p>
    <w:p>
      <w:pPr>
        <w:pStyle w:val="TOC3"/>
        <w:rPr>
          <w:rFonts w:ascii="Calibri" w:hAnsi="Calibri"/>
          <w:noProof/>
          <w:sz w:val="22"/>
        </w:rPr>
      </w:pPr>
      <w:hyperlink w:anchor="_Toc256000223"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_Toc256000223 \h </w:instrText>
        </w:r>
        <w:r>
          <w:fldChar w:fldCharType="separate"/>
        </w:r>
        <w:r>
          <w:t>840</w:t>
        </w:r>
        <w:r>
          <w:fldChar w:fldCharType="end"/>
        </w:r>
      </w:hyperlink>
    </w:p>
    <w:p>
      <w:pPr>
        <w:pStyle w:val="TOC2"/>
        <w:rPr>
          <w:rFonts w:ascii="Calibri" w:hAnsi="Calibri"/>
          <w:noProof/>
          <w:sz w:val="22"/>
        </w:rPr>
      </w:pPr>
      <w:hyperlink w:anchor="_Toc256000224"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_Toc256000224 \h </w:instrText>
        </w:r>
        <w:r>
          <w:fldChar w:fldCharType="separate"/>
        </w:r>
        <w:r>
          <w:t>840</w:t>
        </w:r>
        <w:r>
          <w:fldChar w:fldCharType="end"/>
        </w:r>
      </w:hyperlink>
    </w:p>
    <w:p>
      <w:pPr>
        <w:pStyle w:val="TOC1"/>
        <w:rPr>
          <w:rFonts w:ascii="Calibri" w:hAnsi="Calibri"/>
          <w:noProof/>
          <w:sz w:val="22"/>
        </w:rPr>
      </w:pPr>
      <w:hyperlink w:anchor="_Toc256000225"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_Toc256000225 \h </w:instrText>
        </w:r>
        <w:r>
          <w:fldChar w:fldCharType="separate"/>
        </w:r>
        <w:r>
          <w:t>843</w:t>
        </w:r>
        <w:r>
          <w:fldChar w:fldCharType="end"/>
        </w:r>
      </w:hyperlink>
    </w:p>
    <w:p>
      <w:pPr>
        <w:pStyle w:val="TOC2"/>
        <w:rPr>
          <w:rFonts w:ascii="Calibri" w:hAnsi="Calibri"/>
          <w:noProof/>
          <w:sz w:val="22"/>
        </w:rPr>
      </w:pPr>
      <w:hyperlink w:anchor="_Toc256000226"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_Toc256000226 \h </w:instrText>
        </w:r>
        <w:r>
          <w:fldChar w:fldCharType="separate"/>
        </w:r>
        <w:r>
          <w:t>843</w:t>
        </w:r>
        <w:r>
          <w:fldChar w:fldCharType="end"/>
        </w:r>
      </w:hyperlink>
    </w:p>
    <w:p>
      <w:pPr>
        <w:pStyle w:val="TOC3"/>
        <w:rPr>
          <w:rFonts w:ascii="Calibri" w:hAnsi="Calibri"/>
          <w:noProof/>
          <w:sz w:val="22"/>
        </w:rPr>
      </w:pPr>
      <w:hyperlink w:anchor="_Toc256000227" w:history="1">
        <w:r>
          <w:rPr>
            <w:rStyle w:val="Hyperlink"/>
          </w:rPr>
          <w:t>15.1.1.</w:t>
        </w:r>
        <w:r>
          <w:rPr>
            <w:rStyle w:val="Hyperlink"/>
          </w:rPr>
          <w:t xml:space="preserve"> </w:t>
        </w:r>
        <w:r>
          <w:rPr>
            <w:rStyle w:val="Hyperlink"/>
          </w:rPr>
          <w:t>Органи</w:t>
        </w:r>
        <w:r>
          <w:tab/>
        </w:r>
        <w:r>
          <w:fldChar w:fldCharType="begin"/>
        </w:r>
        <w:r>
          <w:instrText xml:space="preserve"> PAGEREF _Toc256000227 \h </w:instrText>
        </w:r>
        <w:r>
          <w:fldChar w:fldCharType="separate"/>
        </w:r>
        <w:r>
          <w:t>843</w:t>
        </w:r>
        <w:r>
          <w:fldChar w:fldCharType="end"/>
        </w:r>
      </w:hyperlink>
    </w:p>
    <w:p>
      <w:pPr>
        <w:pStyle w:val="TOC3"/>
        <w:rPr>
          <w:rFonts w:ascii="Calibri" w:hAnsi="Calibri"/>
          <w:noProof/>
          <w:sz w:val="22"/>
        </w:rPr>
      </w:pPr>
      <w:hyperlink w:anchor="_Toc256000228"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_Toc256000228 \h </w:instrText>
        </w:r>
        <w:r>
          <w:fldChar w:fldCharType="separate"/>
        </w:r>
        <w:r>
          <w:t>843</w:t>
        </w:r>
        <w:r>
          <w:fldChar w:fldCharType="end"/>
        </w:r>
      </w:hyperlink>
    </w:p>
    <w:p>
      <w:pPr>
        <w:pStyle w:val="TOC2"/>
        <w:rPr>
          <w:rFonts w:ascii="Calibri" w:hAnsi="Calibri"/>
          <w:noProof/>
          <w:sz w:val="22"/>
        </w:rPr>
      </w:pPr>
      <w:hyperlink w:anchor="_Toc256000229"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_Toc256000229 \h </w:instrText>
        </w:r>
        <w:r>
          <w:fldChar w:fldCharType="separate"/>
        </w:r>
        <w:r>
          <w:t>847</w:t>
        </w:r>
        <w:r>
          <w:fldChar w:fldCharType="end"/>
        </w:r>
      </w:hyperlink>
    </w:p>
    <w:p>
      <w:pPr>
        <w:pStyle w:val="TOC2"/>
        <w:rPr>
          <w:rFonts w:ascii="Calibri" w:hAnsi="Calibri"/>
          <w:noProof/>
          <w:sz w:val="22"/>
        </w:rPr>
      </w:pPr>
      <w:hyperlink w:anchor="_Toc256000230"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_Toc256000230 \h </w:instrText>
        </w:r>
        <w:r>
          <w:fldChar w:fldCharType="separate"/>
        </w:r>
        <w:r>
          <w:t>849</w:t>
        </w:r>
        <w:r>
          <w:fldChar w:fldCharType="end"/>
        </w:r>
      </w:hyperlink>
    </w:p>
    <w:p>
      <w:pPr>
        <w:pStyle w:val="TOC2"/>
        <w:rPr>
          <w:rFonts w:ascii="Calibri" w:hAnsi="Calibri"/>
          <w:noProof/>
          <w:sz w:val="22"/>
        </w:rPr>
      </w:pPr>
      <w:hyperlink w:anchor="_Toc256000231"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_Toc256000231 \h </w:instrText>
        </w:r>
        <w:r>
          <w:fldChar w:fldCharType="separate"/>
        </w:r>
        <w:r>
          <w:t>855</w:t>
        </w:r>
        <w:r>
          <w:fldChar w:fldCharType="end"/>
        </w:r>
      </w:hyperlink>
    </w:p>
    <w:p>
      <w:pPr>
        <w:pStyle w:val="TOC2"/>
        <w:rPr>
          <w:rFonts w:ascii="Calibri" w:hAnsi="Calibri"/>
          <w:noProof/>
          <w:sz w:val="22"/>
        </w:rPr>
      </w:pPr>
      <w:hyperlink w:anchor="_Toc256000232"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_Toc256000232 \h </w:instrText>
        </w:r>
        <w:r>
          <w:fldChar w:fldCharType="separate"/>
        </w:r>
        <w:r>
          <w:t>856</w:t>
        </w:r>
        <w:r>
          <w:fldChar w:fldCharType="end"/>
        </w:r>
      </w:hyperlink>
    </w:p>
    <w:p>
      <w:pPr>
        <w:pStyle w:val="TOC2"/>
        <w:rPr>
          <w:rFonts w:ascii="Calibri" w:hAnsi="Calibri"/>
          <w:noProof/>
          <w:sz w:val="22"/>
        </w:rPr>
      </w:pPr>
      <w:hyperlink w:anchor="_Toc256000233"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_Toc256000233 \h </w:instrText>
        </w:r>
        <w:r>
          <w:fldChar w:fldCharType="separate"/>
        </w:r>
        <w:r>
          <w:t>859</w:t>
        </w:r>
        <w:r>
          <w:fldChar w:fldCharType="end"/>
        </w:r>
      </w:hyperlink>
    </w:p>
    <w:p>
      <w:pPr>
        <w:pStyle w:val="TOC1"/>
        <w:rPr>
          <w:rFonts w:ascii="Calibri" w:hAnsi="Calibri"/>
          <w:noProof/>
          <w:sz w:val="22"/>
        </w:rPr>
      </w:pPr>
      <w:hyperlink w:anchor="_Toc256000234"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_Toc256000234 \h </w:instrText>
        </w:r>
        <w:r>
          <w:fldChar w:fldCharType="separate"/>
        </w:r>
        <w:r>
          <w:t>863</w:t>
        </w:r>
        <w:r>
          <w:fldChar w:fldCharType="end"/>
        </w:r>
      </w:hyperlink>
    </w:p>
    <w:p>
      <w:pPr>
        <w:pStyle w:val="TOC2"/>
        <w:rPr>
          <w:rFonts w:ascii="Calibri" w:hAnsi="Calibri"/>
          <w:noProof/>
          <w:sz w:val="22"/>
        </w:rPr>
      </w:pPr>
      <w:hyperlink w:anchor="_Toc256000235"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_Toc256000235 \h </w:instrText>
        </w:r>
        <w:r>
          <w:fldChar w:fldCharType="separate"/>
        </w:r>
        <w:r>
          <w:t>863</w:t>
        </w:r>
        <w:r>
          <w:fldChar w:fldCharType="end"/>
        </w:r>
      </w:hyperlink>
    </w:p>
    <w:p>
      <w:pPr>
        <w:pStyle w:val="TOC3"/>
        <w:rPr>
          <w:rFonts w:ascii="Calibri" w:hAnsi="Calibri"/>
          <w:noProof/>
          <w:sz w:val="22"/>
        </w:rPr>
      </w:pPr>
      <w:hyperlink w:anchor="_Toc256000236"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_Toc256000236 \h </w:instrText>
        </w:r>
        <w:r>
          <w:fldChar w:fldCharType="separate"/>
        </w:r>
        <w:r>
          <w:t>863</w:t>
        </w:r>
        <w:r>
          <w:fldChar w:fldCharType="end"/>
        </w:r>
      </w:hyperlink>
    </w:p>
    <w:p>
      <w:pPr>
        <w:pStyle w:val="TOC3"/>
        <w:rPr>
          <w:rFonts w:ascii="Calibri" w:hAnsi="Calibri"/>
          <w:noProof/>
          <w:sz w:val="22"/>
        </w:rPr>
      </w:pPr>
      <w:hyperlink w:anchor="_Toc256000237"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_Toc256000237 \h </w:instrText>
        </w:r>
        <w:r>
          <w:fldChar w:fldCharType="separate"/>
        </w:r>
        <w:r>
          <w:t>863</w:t>
        </w:r>
        <w:r>
          <w:fldChar w:fldCharType="end"/>
        </w:r>
      </w:hyperlink>
    </w:p>
    <w:p>
      <w:pPr>
        <w:pStyle w:val="TOC2"/>
        <w:rPr>
          <w:rFonts w:ascii="Calibri" w:hAnsi="Calibri"/>
          <w:noProof/>
          <w:sz w:val="22"/>
        </w:rPr>
      </w:pPr>
      <w:hyperlink w:anchor="_Toc256000238"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_Toc256000238 \h </w:instrText>
        </w:r>
        <w:r>
          <w:fldChar w:fldCharType="separate"/>
        </w:r>
        <w:r>
          <w:t>863</w:t>
        </w:r>
        <w:r>
          <w:fldChar w:fldCharType="end"/>
        </w:r>
      </w:hyperlink>
    </w:p>
    <w:p>
      <w:pPr>
        <w:pStyle w:val="TOC3"/>
        <w:rPr>
          <w:rFonts w:ascii="Calibri" w:hAnsi="Calibri"/>
          <w:noProof/>
          <w:sz w:val="22"/>
        </w:rPr>
      </w:pPr>
      <w:hyperlink w:anchor="_Toc256000239"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_Toc256000239 \h </w:instrText>
        </w:r>
        <w:r>
          <w:fldChar w:fldCharType="separate"/>
        </w:r>
        <w:r>
          <w:t>863</w:t>
        </w:r>
        <w:r>
          <w:fldChar w:fldCharType="end"/>
        </w:r>
      </w:hyperlink>
    </w:p>
    <w:p>
      <w:pPr>
        <w:pStyle w:val="TOC3"/>
        <w:rPr>
          <w:rFonts w:ascii="Calibri" w:hAnsi="Calibri"/>
          <w:noProof/>
          <w:sz w:val="22"/>
        </w:rPr>
      </w:pPr>
      <w:hyperlink w:anchor="_Toc256000240"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_Toc256000240 \h </w:instrText>
        </w:r>
        <w:r>
          <w:fldChar w:fldCharType="separate"/>
        </w:r>
        <w:r>
          <w:t>863</w:t>
        </w:r>
        <w:r>
          <w:fldChar w:fldCharType="end"/>
        </w:r>
      </w:hyperlink>
    </w:p>
    <w:p>
      <w:pPr>
        <w:pStyle w:val="TOC2"/>
        <w:rPr>
          <w:rFonts w:ascii="Calibri" w:hAnsi="Calibri"/>
          <w:noProof/>
          <w:sz w:val="22"/>
        </w:rPr>
      </w:pPr>
      <w:hyperlink w:anchor="_Toc256000241"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_Toc256000241 \h </w:instrText>
        </w:r>
        <w:r>
          <w:fldChar w:fldCharType="separate"/>
        </w:r>
        <w:r>
          <w:t>864</w:t>
        </w:r>
        <w:r>
          <w:fldChar w:fldCharType="end"/>
        </w:r>
      </w:hyperlink>
    </w:p>
    <w:p>
      <w:pPr>
        <w:pStyle w:val="TOC3"/>
        <w:rPr>
          <w:rFonts w:ascii="Calibri" w:hAnsi="Calibri"/>
          <w:noProof/>
          <w:sz w:val="22"/>
        </w:rPr>
      </w:pPr>
      <w:hyperlink w:anchor="_Toc256000242"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_Toc256000242 \h </w:instrText>
        </w:r>
        <w:r>
          <w:fldChar w:fldCharType="separate"/>
        </w:r>
        <w:r>
          <w:t>864</w:t>
        </w:r>
        <w:r>
          <w:fldChar w:fldCharType="end"/>
        </w:r>
      </w:hyperlink>
    </w:p>
    <w:p>
      <w:pPr>
        <w:pStyle w:val="TOC3"/>
        <w:rPr>
          <w:rFonts w:ascii="Calibri" w:hAnsi="Calibri"/>
          <w:noProof/>
          <w:sz w:val="22"/>
        </w:rPr>
      </w:pPr>
      <w:hyperlink w:anchor="_Toc256000243"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_Toc256000243 \h </w:instrText>
        </w:r>
        <w:r>
          <w:fldChar w:fldCharType="separate"/>
        </w:r>
        <w:r>
          <w:t>864</w:t>
        </w:r>
        <w:r>
          <w:fldChar w:fldCharType="end"/>
        </w:r>
      </w:hyperlink>
    </w:p>
    <w:p>
      <w:pPr>
        <w:pStyle w:val="TOC2"/>
        <w:rPr>
          <w:rFonts w:ascii="Calibri" w:hAnsi="Calibri"/>
          <w:noProof/>
          <w:sz w:val="22"/>
        </w:rPr>
      </w:pPr>
      <w:hyperlink w:anchor="_Toc256000244"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_Toc256000244 \h </w:instrText>
        </w:r>
        <w:r>
          <w:fldChar w:fldCharType="separate"/>
        </w:r>
        <w:r>
          <w:t>864</w:t>
        </w:r>
        <w:r>
          <w:fldChar w:fldCharType="end"/>
        </w:r>
      </w:hyperlink>
    </w:p>
    <w:p>
      <w:pPr>
        <w:pStyle w:val="TOC3"/>
        <w:rPr>
          <w:rFonts w:ascii="Calibri" w:hAnsi="Calibri"/>
          <w:noProof/>
          <w:sz w:val="22"/>
        </w:rPr>
      </w:pPr>
      <w:hyperlink w:anchor="_Toc256000245"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_Toc256000245 \h </w:instrText>
        </w:r>
        <w:r>
          <w:fldChar w:fldCharType="separate"/>
        </w:r>
        <w:r>
          <w:t>864</w:t>
        </w:r>
        <w:r>
          <w:fldChar w:fldCharType="end"/>
        </w:r>
      </w:hyperlink>
    </w:p>
    <w:p>
      <w:pPr>
        <w:pStyle w:val="TOC3"/>
        <w:rPr>
          <w:rFonts w:ascii="Calibri" w:hAnsi="Calibri"/>
          <w:noProof/>
          <w:sz w:val="22"/>
        </w:rPr>
      </w:pPr>
      <w:hyperlink w:anchor="_Toc256000246"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_Toc256000246 \h </w:instrText>
        </w:r>
        <w:r>
          <w:fldChar w:fldCharType="separate"/>
        </w:r>
        <w:r>
          <w:t>864</w:t>
        </w:r>
        <w:r>
          <w:fldChar w:fldCharType="end"/>
        </w:r>
      </w:hyperlink>
    </w:p>
    <w:p>
      <w:pPr>
        <w:pStyle w:val="TOC2"/>
        <w:rPr>
          <w:rFonts w:ascii="Calibri" w:hAnsi="Calibri"/>
          <w:noProof/>
          <w:sz w:val="22"/>
        </w:rPr>
      </w:pPr>
      <w:hyperlink w:anchor="_Toc256000247"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_Toc256000247 \h </w:instrText>
        </w:r>
        <w:r>
          <w:fldChar w:fldCharType="separate"/>
        </w:r>
        <w:r>
          <w:t>865</w:t>
        </w:r>
        <w:r>
          <w:fldChar w:fldCharType="end"/>
        </w:r>
      </w:hyperlink>
    </w:p>
    <w:p>
      <w:pPr>
        <w:pStyle w:val="TOC3"/>
        <w:rPr>
          <w:rFonts w:ascii="Calibri" w:hAnsi="Calibri"/>
          <w:noProof/>
          <w:sz w:val="22"/>
        </w:rPr>
      </w:pPr>
      <w:hyperlink w:anchor="_Toc256000248"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_Toc256000248 \h </w:instrText>
        </w:r>
        <w:r>
          <w:fldChar w:fldCharType="separate"/>
        </w:r>
        <w:r>
          <w:t>865</w:t>
        </w:r>
        <w:r>
          <w:fldChar w:fldCharType="end"/>
        </w:r>
      </w:hyperlink>
    </w:p>
    <w:p>
      <w:pPr>
        <w:pStyle w:val="TOC3"/>
        <w:rPr>
          <w:rFonts w:ascii="Calibri" w:hAnsi="Calibri"/>
          <w:noProof/>
          <w:sz w:val="22"/>
        </w:rPr>
      </w:pPr>
      <w:hyperlink w:anchor="_Toc256000249"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_Toc256000249 \h </w:instrText>
        </w:r>
        <w:r>
          <w:fldChar w:fldCharType="separate"/>
        </w:r>
        <w:r>
          <w:t>865</w:t>
        </w:r>
        <w:r>
          <w:fldChar w:fldCharType="end"/>
        </w:r>
      </w:hyperlink>
    </w:p>
    <w:p>
      <w:pPr>
        <w:pStyle w:val="TOC2"/>
        <w:rPr>
          <w:rFonts w:ascii="Calibri" w:hAnsi="Calibri"/>
          <w:noProof/>
          <w:sz w:val="22"/>
        </w:rPr>
      </w:pPr>
      <w:hyperlink w:anchor="_Toc256000250"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_Toc256000250 \h </w:instrText>
        </w:r>
        <w:r>
          <w:fldChar w:fldCharType="separate"/>
        </w:r>
        <w:r>
          <w:t>865</w:t>
        </w:r>
        <w:r>
          <w:fldChar w:fldCharType="end"/>
        </w:r>
      </w:hyperlink>
    </w:p>
    <w:p>
      <w:pPr>
        <w:pStyle w:val="TOC3"/>
        <w:rPr>
          <w:rFonts w:ascii="Calibri" w:hAnsi="Calibri"/>
          <w:noProof/>
          <w:sz w:val="22"/>
        </w:rPr>
      </w:pPr>
      <w:hyperlink w:anchor="_Toc256000251"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_Toc256000251 \h </w:instrText>
        </w:r>
        <w:r>
          <w:fldChar w:fldCharType="separate"/>
        </w:r>
        <w:r>
          <w:t>865</w:t>
        </w:r>
        <w:r>
          <w:fldChar w:fldCharType="end"/>
        </w:r>
      </w:hyperlink>
    </w:p>
    <w:p>
      <w:pPr>
        <w:pStyle w:val="TOC3"/>
        <w:rPr>
          <w:rFonts w:ascii="Calibri" w:hAnsi="Calibri"/>
          <w:noProof/>
          <w:sz w:val="22"/>
        </w:rPr>
      </w:pPr>
      <w:hyperlink w:anchor="_Toc256000252"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_Toc256000252 \h </w:instrText>
        </w:r>
        <w:r>
          <w:fldChar w:fldCharType="separate"/>
        </w:r>
        <w:r>
          <w:t>865</w:t>
        </w:r>
        <w:r>
          <w:fldChar w:fldCharType="end"/>
        </w:r>
      </w:hyperlink>
    </w:p>
    <w:p>
      <w:pPr>
        <w:pStyle w:val="TOC2"/>
        <w:rPr>
          <w:rFonts w:ascii="Calibri" w:hAnsi="Calibri"/>
          <w:noProof/>
          <w:sz w:val="22"/>
        </w:rPr>
      </w:pPr>
      <w:hyperlink w:anchor="_Toc256000253"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_Toc256000253 \h </w:instrText>
        </w:r>
        <w:r>
          <w:fldChar w:fldCharType="separate"/>
        </w:r>
        <w:r>
          <w:t>865</w:t>
        </w:r>
        <w:r>
          <w:fldChar w:fldCharType="end"/>
        </w:r>
      </w:hyperlink>
    </w:p>
    <w:p>
      <w:pPr>
        <w:pStyle w:val="TOC1"/>
        <w:rPr>
          <w:rFonts w:ascii="Calibri" w:hAnsi="Calibri"/>
          <w:noProof/>
          <w:sz w:val="22"/>
        </w:rPr>
      </w:pPr>
      <w:hyperlink w:anchor="_Toc256000254"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_Toc256000254 \h </w:instrText>
        </w:r>
        <w:r>
          <w:fldChar w:fldCharType="separate"/>
        </w:r>
        <w:r>
          <w:t>869</w:t>
        </w:r>
        <w:r>
          <w:fldChar w:fldCharType="end"/>
        </w:r>
      </w:hyperlink>
    </w:p>
    <w:p>
      <w:pPr>
        <w:pStyle w:val="TOC2"/>
        <w:rPr>
          <w:rFonts w:ascii="Calibri" w:hAnsi="Calibri"/>
          <w:noProof/>
          <w:sz w:val="22"/>
        </w:rPr>
      </w:pPr>
      <w:hyperlink w:anchor="_Toc256000255"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_Toc256000255 \h </w:instrText>
        </w:r>
        <w:r>
          <w:fldChar w:fldCharType="separate"/>
        </w:r>
        <w:r>
          <w:t>869</w:t>
        </w:r>
        <w:r>
          <w:fldChar w:fldCharType="end"/>
        </w:r>
      </w:hyperlink>
    </w:p>
    <w:p>
      <w:pPr>
        <w:pStyle w:val="TOC2"/>
        <w:rPr>
          <w:rFonts w:ascii="Calibri" w:hAnsi="Calibri"/>
          <w:noProof/>
          <w:sz w:val="22"/>
        </w:rPr>
      </w:pPr>
      <w:hyperlink w:anchor="_Toc256000256"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_Toc256000256 \h </w:instrText>
        </w:r>
        <w:r>
          <w:fldChar w:fldCharType="separate"/>
        </w:r>
        <w:r>
          <w:t>869</w:t>
        </w:r>
        <w:r>
          <w:fldChar w:fldCharType="end"/>
        </w:r>
      </w:hyperlink>
    </w:p>
    <w:p>
      <w:pPr>
        <w:pStyle w:val="TOC2"/>
        <w:rPr>
          <w:rFonts w:ascii="Calibri" w:hAnsi="Calibri"/>
          <w:noProof/>
          <w:sz w:val="22"/>
        </w:rPr>
      </w:pPr>
      <w:hyperlink w:anchor="_Toc256000257"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_Toc256000257 \h </w:instrText>
        </w:r>
        <w:r>
          <w:fldChar w:fldCharType="separate"/>
        </w:r>
        <w:r>
          <w:t>871</w:t>
        </w:r>
        <w:r>
          <w:fldChar w:fldCharType="end"/>
        </w:r>
      </w:hyperlink>
    </w:p>
    <w:p>
      <w:pPr>
        <w:pStyle w:val="TOC2"/>
        <w:rPr>
          <w:rFonts w:ascii="Calibri" w:hAnsi="Calibri"/>
          <w:noProof/>
          <w:sz w:val="22"/>
        </w:rPr>
      </w:pPr>
      <w:hyperlink w:anchor="_Toc256000258"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_Toc256000258 \h </w:instrText>
        </w:r>
        <w:r>
          <w:fldChar w:fldCharType="separate"/>
        </w:r>
        <w:r>
          <w:t>877</w:t>
        </w:r>
        <w:r>
          <w:fldChar w:fldCharType="end"/>
        </w:r>
      </w:hyperlink>
    </w:p>
    <w:p>
      <w:pPr>
        <w:pStyle w:val="TOC1"/>
        <w:rPr>
          <w:rFonts w:ascii="Calibri" w:hAnsi="Calibri"/>
          <w:noProof/>
          <w:sz w:val="22"/>
        </w:rPr>
      </w:pPr>
      <w:hyperlink w:anchor="_Toc256000259"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_Toc256000259 \h </w:instrText>
        </w:r>
        <w:r>
          <w:fldChar w:fldCharType="separate"/>
        </w:r>
        <w:r>
          <w:t>878</w:t>
        </w:r>
        <w:r>
          <w:fldChar w:fldCharType="end"/>
        </w:r>
      </w:hyperlink>
    </w:p>
    <w:p>
      <w:pPr>
        <w:pStyle w:val="TOC2"/>
        <w:rPr>
          <w:rFonts w:ascii="Calibri" w:hAnsi="Calibri"/>
          <w:noProof/>
          <w:sz w:val="22"/>
        </w:rPr>
      </w:pPr>
      <w:hyperlink w:anchor="_Toc256000260"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_Toc256000260 \h </w:instrText>
        </w:r>
        <w:r>
          <w:fldChar w:fldCharType="separate"/>
        </w:r>
        <w:r>
          <w:t>878</w:t>
        </w:r>
        <w:r>
          <w:fldChar w:fldCharType="end"/>
        </w:r>
      </w:hyperlink>
    </w:p>
    <w:p>
      <w:pPr>
        <w:pStyle w:val="TOC2"/>
        <w:rPr>
          <w:rFonts w:ascii="Calibri" w:hAnsi="Calibri"/>
          <w:noProof/>
          <w:sz w:val="22"/>
        </w:rPr>
      </w:pPr>
      <w:hyperlink w:anchor="_Toc256000261"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_Toc256000261 \h </w:instrText>
        </w:r>
        <w:r>
          <w:fldChar w:fldCharType="separate"/>
        </w:r>
        <w:r>
          <w:t>879</w:t>
        </w:r>
        <w:r>
          <w:fldChar w:fldCharType="end"/>
        </w:r>
      </w:hyperlink>
    </w:p>
    <w:p>
      <w:pPr>
        <w:pStyle w:val="TOC1"/>
        <w:rPr>
          <w:rFonts w:ascii="Calibri" w:hAnsi="Calibri"/>
          <w:noProof/>
          <w:sz w:val="22"/>
        </w:rPr>
      </w:pPr>
      <w:hyperlink w:anchor="_Toc256000262"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_Toc256000262 \h </w:instrText>
        </w:r>
        <w:r>
          <w:fldChar w:fldCharType="separate"/>
        </w:r>
        <w:r>
          <w:t>882</w:t>
        </w:r>
        <w:r>
          <w:fldChar w:fldCharType="end"/>
        </w:r>
      </w:hyperlink>
    </w:p>
    <w:p>
      <w:pPr>
        <w:pStyle w:val="TOC2"/>
        <w:rPr>
          <w:rFonts w:ascii="Calibri" w:hAnsi="Calibri"/>
          <w:noProof/>
          <w:sz w:val="22"/>
        </w:rPr>
      </w:pPr>
      <w:hyperlink w:anchor="_Toc256000263"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_Toc256000263 \h </w:instrText>
        </w:r>
        <w:r>
          <w:fldChar w:fldCharType="separate"/>
        </w:r>
        <w:r>
          <w:t>882</w:t>
        </w:r>
        <w:r>
          <w:fldChar w:fldCharType="end"/>
        </w:r>
      </w:hyperlink>
    </w:p>
    <w:p>
      <w:pPr>
        <w:pStyle w:val="TOC2"/>
        <w:rPr>
          <w:rFonts w:ascii="Calibri" w:hAnsi="Calibri"/>
          <w:noProof/>
          <w:sz w:val="22"/>
        </w:rPr>
      </w:pPr>
      <w:hyperlink w:anchor="_Toc256000264"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_Toc256000264 \h </w:instrText>
        </w:r>
        <w:r>
          <w:fldChar w:fldCharType="separate"/>
        </w:r>
        <w:r>
          <w:t>884</w:t>
        </w:r>
        <w:r>
          <w:fldChar w:fldCharType="end"/>
        </w:r>
      </w:hyperlink>
    </w:p>
    <w:p>
      <w:pPr>
        <w:pStyle w:val="TOC1"/>
        <w:rPr>
          <w:rFonts w:ascii="Calibri" w:hAnsi="Calibri"/>
          <w:noProof/>
          <w:sz w:val="22"/>
        </w:rPr>
      </w:pPr>
      <w:hyperlink w:anchor="_Toc256000265"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_Toc256000265 \h </w:instrText>
        </w:r>
        <w:r>
          <w:fldChar w:fldCharType="separate"/>
        </w:r>
        <w:r>
          <w:t>886</w:t>
        </w:r>
        <w:r>
          <w:fldChar w:fldCharType="end"/>
        </w:r>
      </w:hyperlink>
    </w:p>
    <w:p>
      <w:pPr>
        <w:pStyle w:val="TOC2"/>
        <w:rPr>
          <w:rFonts w:ascii="Calibri" w:hAnsi="Calibri"/>
          <w:noProof/>
          <w:sz w:val="22"/>
        </w:rPr>
      </w:pPr>
      <w:hyperlink w:anchor="_Toc256000266" w:history="1">
        <w:r>
          <w:rPr>
            <w:rStyle w:val="Hyperlink"/>
          </w:rPr>
          <w:t>Документи</w:t>
        </w:r>
        <w:r>
          <w:tab/>
        </w:r>
        <w:r>
          <w:fldChar w:fldCharType="begin"/>
        </w:r>
        <w:r>
          <w:instrText xml:space="preserve"> PAGEREF _Toc256000266 \h </w:instrText>
        </w:r>
        <w:r>
          <w:fldChar w:fldCharType="separate"/>
        </w:r>
        <w:r>
          <w:t>887</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г. Решение по член 11, буква б), втора алинея</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11-07-2022</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Тринадесето изменение на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приемането на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се дава възможност на държавите членки да удължат срока на продължителност на програмите, подпомагани от ЕЗФРСР, а именно: срокът от 1 януари 2014 г. до 31 декември 2020 г., определен в член 26, параграф 1 от Регламент (ЕС) № 1303/2013, се удължава до 31 декември 2022 г. Прилагането на ПРСР 2014-2020 се удължава с 2 календарни години, които важат включително и за прилагане на правилото N+3, с което крайният срок за извършване на плащания по ПРСР 2014-2020 се удължава до 31.12.2025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УО на ПРСР 2014-2020 г. предвижда обявяване на четири процедури чрез подбор на проектни предложения по подмярка 7.2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 през 2022 г. С цел по-доброто и ефективно прилагане на подмярката в рамките на предстоящите процедури Управляващият орган на ПРСР 2014-2020 г. предлага да бъдат извършени изменения и допълнения в текста на подмярката в одобрената ПРСР 2014-2020 г., свързани с прецизиране на условията за допустимост и критериите за подбор.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Предлага се изискването в програмата „Кандидати общини с одобрен проект по конкретна дейност от проведен прием на заявления за подпомагане да нямат възможност да кандидатстват с проект за същата дейност в рамките на следващ прием на заявления по подмярката“ да не се прилага за периода на удължаване на срока на програмата, съгласно разпоредбите на Регламент (ЕС) 2020/2220 на Европейския парламент и на Съвета от 23 декември 2020 година. Това решение ще позволи на кандидатите общини да подготвят и подадат проектни предложения, които най-пълно ще допринесат за постигане на нуждите на местно ниво.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Предстоящите процедури за подбор на проектни предложения ще се провеждат на конкурентен принцип и в тази връзка се предлага отпадане на текста, който ограничава финансовата помощ за един кандидат община за периода на удължаване на срока на програмата, да не надхвърля левовата равностойност на определените бюджети за съответната община.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промяна в националната дефиниция за „селските райони“ с цел прилагане на мерките по ПРСР 2014-2020 г. в унисон с Програмата за развитие на регионите и поставяне на ясна демаркационна линия между двете програми, УО предлага да се създаде изричен текст, който да пояснява, че всички дейности за малка по мащаби инфраструктура през периода на удължаване на срока на програмата ще са допустими единствено на територията на селските райони, определени по новата национална дефиниция.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със създалата се икономическа ситуация, довела до значително увеличение на цените за енергия, УО предлага въвеждане на нов принцип при определяне на критериите за подбор, чрез който ще се поощри производството на енергия за собствени нужди и респективно ще се намали енергийната зависимост на селските общини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УО предлага следните изменения и допълнения в частта „Принципи при определяне на критерия за подбор“:</w:t>
            </w:r>
          </w:p>
          <w:p>
            <w:pPr>
              <w:numPr>
                <w:ilvl w:val="0"/>
                <w:numId w:val="2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в принципа „Изграждане и/или реконструкция на инфраструктура, която осигурява директна свързаност на населено място с по-висок клас републикански пътища“, се предлага да не се ограничава свързаността само с републикански пътища, а като условие да бъде заложено осигуряване на свързаност с път от по-висок клас.</w:t>
            </w:r>
          </w:p>
          <w:p>
            <w:pPr>
              <w:numPr>
                <w:ilvl w:val="0"/>
                <w:numId w:val="2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се предлага да се добави нов принцип при определяне на критериите за подбор: „Проекти, насочени към производство на енергия за собствено потребление от възобновяеми енергийни източници“. По този начин инвестициите ще бъдат насочени в унисон с приоритетите на Съюза за осигуряване на чиста и зелена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глава 8.1 "Общи условия" - 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 се добавя следния текст: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проектни предложения по инвестиционните мерки от Програмата, за които е приложимо, е допустимо провеждане на процедура за избор на изпълнител в съответствие с приложимото национално законодателство (ПМС №160) след подаване на проектното предложение и преди сключване на административeн договор.</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Предстоящите процедури за подбор на проектни предложения ще се провеждат на конкурентен принцип и в тази връзка се предлага отпадане на текста, който ограничава финансовата помощ за един кандидат община за периода на удължаване на срока на програмата, да не надхвърля левовата равностойност на определените бюджети за съответната община.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промяна в националната дефиниция за „селските райони“ с цел прилагане на мерките по ПРСР 2014-2020 г. в унисон с Програмата за развитие на регионите и поставяне на ясна демаркационна линия между двете програми, УО предлага да се създаде изричен текст, който да пояснява, че всички дейности за малка по мащаби инфраструктура през периода на удължаване на срока на програмата ще са допустими единствено на територията на селските райони, определени по новата национална дефиниция.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със създалата се икономическа ситуация, довела до значително увеличение на цените за енергия, УО предлага въвеждане на нов принцип при определяне на критериите за подбор, чрез който ще се поощри производството на енергия за собствени нужди и респективно ще се намали енергийната зависимост на селските общини в страната.</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не се предвижда да повлияе върху показателите.</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right="0"/>
              <w:jc w:val="left"/>
              <w:rPr>
                <w:rFonts w:ascii="Times New Roman" w:eastAsia="Times New Roman" w:hAnsi="Times New Roman" w:cs="Times New Roman"/>
                <w:szCs w:val="24"/>
              </w:rPr>
            </w:pPr>
            <w:r>
              <w:rPr>
                <w:rFonts w:ascii="Times New Roman" w:eastAsia="Times New Roman" w:hAnsi="Times New Roman" w:cs="Times New Roman"/>
                <w:szCs w:val="24"/>
              </w:rPr>
              <w:t> Промяната не се предвижда да повлияе върху показателите от Споразумението за Партньорство.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52"/>
        <w:gridCol w:w="3552"/>
        <w:gridCol w:w="35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tcPr>
          <w:p>
            <w:pPr>
              <w:rPr>
                <w:b/>
              </w:rPr>
            </w:pPr>
            <w:r>
              <w:rPr>
                <w:b/>
              </w:rPr>
              <w:t>Наименование (или референтен номер) на препоръката</w:t>
            </w:r>
          </w:p>
        </w:tc>
        <w:tc>
          <w:tcPr>
            <w:tcW w:w="12000" w:type="dxa"/>
            <w:shd w:val="clear" w:color="auto" w:fill="C0C0C0"/>
          </w:tcPr>
          <w:p>
            <w:pPr>
              <w:rPr>
                <w:b/>
              </w:rPr>
            </w:pPr>
            <w:r>
              <w:rPr>
                <w:b/>
              </w:rPr>
              <w:t>Категория на препоръката</w:t>
            </w:r>
          </w:p>
        </w:tc>
        <w:tc>
          <w:tcPr>
            <w:tcW w:w="12000" w:type="dxa"/>
            <w:shd w:val="clear" w:color="auto" w:fill="C0C0C0"/>
          </w:tcPr>
          <w:p>
            <w:pPr>
              <w:rPr>
                <w:b w:val="0"/>
              </w:rPr>
            </w:pPr>
            <w:r>
              <w:rPr>
                <w:b/>
              </w:rPr>
              <w:t>Дата</w:t>
            </w:r>
          </w:p>
        </w:tc>
      </w:tr>
      <w:tr>
        <w:tblPrEx>
          <w:tblW w:w="5000" w:type="pct"/>
          <w:tblCellMar>
            <w:left w:w="108" w:type="dxa"/>
            <w:right w:w="108" w:type="dxa"/>
          </w:tblCellMar>
        </w:tblPrEx>
        <w:tc>
          <w:tcPr>
            <w:tcW w:w="12000" w:type="dxa"/>
            <w:shd w:val="clear" w:color="auto" w:fill="FFFFFF"/>
          </w:tcPr>
          <w:p>
            <w:pPr>
              <w:rPr>
                <w:b w:val="0"/>
              </w:rPr>
            </w:pPr>
            <w:r>
              <w:rPr>
                <w:b w:val="0"/>
              </w:rPr>
              <w:t>1.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2.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3.АНС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4.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5.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6.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7.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8.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9.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А. SWOT Aнализ</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Б. Потребности</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В. Стратегия 1</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Г. Стратегия 2</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Д. Стратегия 3</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Е. Специфични цели</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Ж. Финансови средства 1</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З. Финансови средства 2</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И. Финансови средства 3</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Й. Административни ресурси</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К. Обучение на персонала</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Л. Тематична подпрограма за малки стопанства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М. План за оценка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Н. Комуникация</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О. Участие на заинтересованите страни</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numPr>
                <w:ilvl w:val="0"/>
                <w:numId w:val="23"/>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76"/>
        <w:gridCol w:w="1776"/>
        <w:gridCol w:w="1776"/>
        <w:gridCol w:w="1776"/>
        <w:gridCol w:w="1776"/>
        <w:gridCol w:w="17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Код</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20"/>
        <w:gridCol w:w="620"/>
        <w:gridCol w:w="620"/>
        <w:gridCol w:w="619"/>
        <w:gridCol w:w="621"/>
        <w:gridCol w:w="620"/>
        <w:gridCol w:w="618"/>
        <w:gridCol w:w="2"/>
        <w:gridCol w:w="620"/>
        <w:gridCol w:w="618"/>
        <w:gridCol w:w="2"/>
        <w:gridCol w:w="620"/>
        <w:gridCol w:w="620"/>
        <w:gridCol w:w="617"/>
        <w:gridCol w:w="3"/>
        <w:gridCol w:w="620"/>
        <w:gridCol w:w="620"/>
        <w:gridCol w:w="620"/>
        <w:gridCol w:w="620"/>
        <w:gridCol w:w="616"/>
        <w:gridCol w:w="4"/>
        <w:gridCol w:w="620"/>
        <w:gridCol w:w="620"/>
        <w:gridCol w:w="615"/>
        <w:gridCol w:w="5"/>
        <w:gridCol w:w="620"/>
        <w:gridCol w:w="620"/>
        <w:gridCol w:w="61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tcW w:w="36000" w:type="dxa"/>
            <w:gridSpan w:val="3"/>
            <w:shd w:val="clear" w:color="auto" w:fill="808080"/>
            <w:noWrap w:val="0"/>
            <w:tcMar>
              <w:top w:w="20" w:type="dxa"/>
              <w:bottom w:w="20" w:type="dxa"/>
            </w:tcMar>
            <w:vAlign w:val="center"/>
          </w:tcPr>
          <w:p>
            <w:pPr>
              <w:jc w:val="center"/>
              <w:rPr>
                <w:b/>
                <w:sz w:val="20"/>
              </w:rPr>
            </w:pPr>
            <w:r>
              <w:rPr>
                <w:b/>
                <w:sz w:val="20"/>
              </w:rPr>
              <w:t>P1</w:t>
            </w:r>
          </w:p>
        </w:tc>
        <w:tc>
          <w:tcPr>
            <w:tcW w:w="36000" w:type="dxa"/>
            <w:gridSpan w:val="3"/>
            <w:shd w:val="clear" w:color="auto" w:fill="808080"/>
            <w:noWrap w:val="0"/>
            <w:tcMar>
              <w:top w:w="20" w:type="dxa"/>
              <w:bottom w:w="20" w:type="dxa"/>
            </w:tcMar>
            <w:vAlign w:val="center"/>
          </w:tcPr>
          <w:p>
            <w:pPr>
              <w:jc w:val="center"/>
              <w:rPr>
                <w:b/>
                <w:sz w:val="20"/>
              </w:rPr>
            </w:pPr>
            <w:r>
              <w:rPr>
                <w:b/>
                <w:sz w:val="20"/>
              </w:rPr>
              <w:t>P2</w:t>
            </w:r>
          </w:p>
        </w:tc>
        <w:tc>
          <w:tcPr>
            <w:tcW w:w="24000" w:type="dxa"/>
            <w:gridSpan w:val="3"/>
            <w:shd w:val="clear" w:color="auto" w:fill="808080"/>
            <w:noWrap w:val="0"/>
            <w:tcMar>
              <w:top w:w="20" w:type="dxa"/>
              <w:bottom w:w="20" w:type="dxa"/>
            </w:tcMar>
            <w:vAlign w:val="center"/>
          </w:tcPr>
          <w:p>
            <w:pPr>
              <w:jc w:val="center"/>
              <w:rPr>
                <w:b/>
                <w:sz w:val="20"/>
              </w:rPr>
            </w:pPr>
            <w:r>
              <w:rPr>
                <w:b/>
                <w:sz w:val="20"/>
              </w:rPr>
              <w:t>P3</w:t>
            </w:r>
          </w:p>
        </w:tc>
        <w:tc>
          <w:tcPr>
            <w:tcW w:w="36000" w:type="dxa"/>
            <w:gridSpan w:val="4"/>
            <w:shd w:val="clear" w:color="auto" w:fill="808080"/>
            <w:noWrap w:val="0"/>
            <w:tcMar>
              <w:top w:w="20" w:type="dxa"/>
              <w:bottom w:w="20" w:type="dxa"/>
            </w:tcMar>
            <w:vAlign w:val="center"/>
          </w:tcPr>
          <w:p>
            <w:pPr>
              <w:jc w:val="center"/>
              <w:rPr>
                <w:b/>
                <w:sz w:val="20"/>
              </w:rPr>
            </w:pPr>
            <w:r>
              <w:rPr>
                <w:b/>
                <w:sz w:val="20"/>
              </w:rPr>
              <w:t>P4</w:t>
            </w:r>
          </w:p>
        </w:tc>
        <w:tc>
          <w:tcPr>
            <w:tcW w:w="60000" w:type="dxa"/>
            <w:gridSpan w:val="6"/>
            <w:shd w:val="clear" w:color="auto" w:fill="808080"/>
            <w:noWrap w:val="0"/>
            <w:tcMar>
              <w:top w:w="20" w:type="dxa"/>
              <w:bottom w:w="20" w:type="dxa"/>
            </w:tcMar>
            <w:vAlign w:val="center"/>
          </w:tcPr>
          <w:p>
            <w:pPr>
              <w:jc w:val="center"/>
              <w:rPr>
                <w:b/>
                <w:sz w:val="20"/>
              </w:rPr>
            </w:pPr>
            <w:r>
              <w:rPr>
                <w:b/>
                <w:sz w:val="20"/>
              </w:rPr>
              <w:t>P5</w:t>
            </w:r>
          </w:p>
        </w:tc>
        <w:tc>
          <w:tcPr>
            <w:tcW w:w="36000" w:type="dxa"/>
            <w:gridSpan w:val="4"/>
            <w:shd w:val="clear" w:color="auto" w:fill="808080"/>
            <w:noWrap w:val="0"/>
            <w:tcMar>
              <w:top w:w="20" w:type="dxa"/>
              <w:bottom w:w="20" w:type="dxa"/>
            </w:tcMar>
            <w:vAlign w:val="center"/>
          </w:tcPr>
          <w:p>
            <w:pPr>
              <w:jc w:val="center"/>
              <w:rPr>
                <w:b/>
                <w:sz w:val="20"/>
              </w:rPr>
            </w:pPr>
            <w:r>
              <w:rPr>
                <w:b/>
                <w:sz w:val="20"/>
              </w:rPr>
              <w:t>P6</w:t>
            </w:r>
          </w:p>
        </w:tc>
        <w:tc>
          <w:tcPr>
            <w:tcW w:w="36000" w:type="dxa"/>
            <w:gridSpan w:val="4"/>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tcW w:w="12000" w:type="dxa"/>
            <w:vMerge/>
            <w:shd w:val="clear" w:color="auto" w:fill="808080"/>
            <w:noWrap w:val="0"/>
            <w:tcMar>
              <w:top w:w="20" w:type="dxa"/>
              <w:bottom w:w="20" w:type="dxa"/>
            </w:tcMar>
            <w:vAlign w:val="center"/>
          </w:tcPr>
          <w:p>
            <w:pPr>
              <w:jc w:val="center"/>
              <w:rPr>
                <w:b/>
                <w:sz w:val="20"/>
              </w:rPr>
            </w:pPr>
          </w:p>
        </w:tc>
        <w:tc>
          <w:tcPr>
            <w:tcW w:w="12000" w:type="dxa"/>
            <w:shd w:val="clear" w:color="auto" w:fill="C0C0C0"/>
            <w:noWrap w:val="0"/>
            <w:tcMar>
              <w:top w:w="20" w:type="dxa"/>
              <w:bottom w:w="20" w:type="dxa"/>
            </w:tcMar>
            <w:vAlign w:val="center"/>
          </w:tcPr>
          <w:p>
            <w:pPr>
              <w:jc w:val="center"/>
              <w:rPr>
                <w:b w:val="0"/>
                <w:sz w:val="16"/>
              </w:rPr>
            </w:pPr>
            <w:r>
              <w:rPr>
                <w:b w:val="0"/>
                <w:sz w:val="16"/>
              </w:rPr>
              <w:t>1A</w:t>
            </w:r>
          </w:p>
        </w:tc>
        <w:tc>
          <w:tcPr>
            <w:tcW w:w="12000" w:type="dxa"/>
            <w:shd w:val="clear" w:color="auto" w:fill="C0C0C0"/>
            <w:noWrap w:val="0"/>
            <w:tcMar>
              <w:top w:w="20" w:type="dxa"/>
              <w:bottom w:w="20" w:type="dxa"/>
            </w:tcMar>
            <w:vAlign w:val="center"/>
          </w:tcPr>
          <w:p>
            <w:pPr>
              <w:jc w:val="center"/>
              <w:rPr>
                <w:b w:val="0"/>
                <w:sz w:val="16"/>
              </w:rPr>
            </w:pPr>
            <w:r>
              <w:rPr>
                <w:b w:val="0"/>
                <w:sz w:val="16"/>
              </w:rPr>
              <w:t>1B</w:t>
            </w:r>
          </w:p>
        </w:tc>
        <w:tc>
          <w:tcPr>
            <w:tcW w:w="12000" w:type="dxa"/>
            <w:shd w:val="clear" w:color="auto" w:fill="C0C0C0"/>
            <w:noWrap w:val="0"/>
            <w:tcMar>
              <w:top w:w="20" w:type="dxa"/>
              <w:bottom w:w="20" w:type="dxa"/>
            </w:tcMar>
            <w:vAlign w:val="center"/>
          </w:tcPr>
          <w:p>
            <w:pPr>
              <w:jc w:val="center"/>
              <w:rPr>
                <w:b w:val="0"/>
                <w:sz w:val="16"/>
              </w:rPr>
            </w:pPr>
            <w:r>
              <w:rPr>
                <w:b w:val="0"/>
                <w:sz w:val="16"/>
              </w:rPr>
              <w:t>1C</w:t>
            </w:r>
          </w:p>
        </w:tc>
        <w:tc>
          <w:tcPr>
            <w:tcW w:w="12000" w:type="dxa"/>
            <w:shd w:val="clear" w:color="auto" w:fill="C0C0C0"/>
            <w:noWrap w:val="0"/>
            <w:tcMar>
              <w:top w:w="20" w:type="dxa"/>
              <w:bottom w:w="20" w:type="dxa"/>
            </w:tcMar>
            <w:vAlign w:val="center"/>
          </w:tcPr>
          <w:p>
            <w:pPr>
              <w:jc w:val="center"/>
              <w:rPr>
                <w:b w:val="0"/>
                <w:sz w:val="16"/>
              </w:rPr>
            </w:pPr>
            <w:r>
              <w:rPr>
                <w:b w:val="0"/>
                <w:sz w:val="16"/>
              </w:rPr>
              <w:t>2A</w:t>
            </w:r>
          </w:p>
        </w:tc>
        <w:tc>
          <w:tcPr>
            <w:tcW w:w="12000" w:type="dxa"/>
            <w:shd w:val="clear" w:color="auto" w:fill="C0C0C0"/>
            <w:noWrap w:val="0"/>
            <w:tcMar>
              <w:top w:w="20" w:type="dxa"/>
              <w:bottom w:w="20" w:type="dxa"/>
            </w:tcMar>
            <w:vAlign w:val="center"/>
          </w:tcPr>
          <w:p>
            <w:pPr>
              <w:jc w:val="center"/>
              <w:rPr>
                <w:b w:val="0"/>
                <w:sz w:val="16"/>
              </w:rPr>
            </w:pPr>
            <w:r>
              <w:rPr>
                <w:b w:val="0"/>
                <w:sz w:val="16"/>
              </w:rPr>
              <w:t>2B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2C+</w:t>
            </w:r>
          </w:p>
        </w:tc>
        <w:tc>
          <w:tcPr>
            <w:tcW w:w="12000" w:type="dxa"/>
            <w:shd w:val="clear" w:color="auto" w:fill="C0C0C0"/>
            <w:noWrap w:val="0"/>
            <w:tcMar>
              <w:top w:w="20" w:type="dxa"/>
              <w:bottom w:w="20" w:type="dxa"/>
            </w:tcMar>
            <w:vAlign w:val="center"/>
          </w:tcPr>
          <w:p>
            <w:pPr>
              <w:jc w:val="center"/>
              <w:rPr>
                <w:b w:val="0"/>
                <w:sz w:val="16"/>
              </w:rPr>
            </w:pPr>
            <w:r>
              <w:rPr>
                <w:b w:val="0"/>
                <w:sz w:val="16"/>
              </w:rPr>
              <w:t>3A</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3B</w:t>
            </w:r>
          </w:p>
        </w:tc>
        <w:tc>
          <w:tcPr>
            <w:tcW w:w="12000" w:type="dxa"/>
            <w:shd w:val="clear" w:color="auto" w:fill="C0C0C0"/>
            <w:noWrap w:val="0"/>
            <w:tcMar>
              <w:top w:w="20" w:type="dxa"/>
              <w:bottom w:w="20" w:type="dxa"/>
            </w:tcMar>
            <w:vAlign w:val="center"/>
          </w:tcPr>
          <w:p>
            <w:pPr>
              <w:jc w:val="center"/>
              <w:rPr>
                <w:b w:val="0"/>
                <w:sz w:val="16"/>
              </w:rPr>
            </w:pPr>
            <w:r>
              <w:rPr>
                <w:b w:val="0"/>
                <w:sz w:val="16"/>
              </w:rPr>
              <w:t>4A</w:t>
            </w:r>
          </w:p>
        </w:tc>
        <w:tc>
          <w:tcPr>
            <w:tcW w:w="12000" w:type="dxa"/>
            <w:shd w:val="clear" w:color="auto" w:fill="C0C0C0"/>
            <w:noWrap w:val="0"/>
            <w:tcMar>
              <w:top w:w="20" w:type="dxa"/>
              <w:bottom w:w="20" w:type="dxa"/>
            </w:tcMar>
            <w:vAlign w:val="center"/>
          </w:tcPr>
          <w:p>
            <w:pPr>
              <w:jc w:val="center"/>
              <w:rPr>
                <w:b w:val="0"/>
                <w:sz w:val="16"/>
              </w:rPr>
            </w:pPr>
            <w:r>
              <w:rPr>
                <w:b w:val="0"/>
                <w:sz w:val="16"/>
              </w:rPr>
              <w:t>4B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4C</w:t>
            </w:r>
          </w:p>
        </w:tc>
        <w:tc>
          <w:tcPr>
            <w:tcW w:w="12000" w:type="dxa"/>
            <w:shd w:val="clear" w:color="auto" w:fill="C0C0C0"/>
            <w:noWrap w:val="0"/>
            <w:tcMar>
              <w:top w:w="20" w:type="dxa"/>
              <w:bottom w:w="20" w:type="dxa"/>
            </w:tcMar>
            <w:vAlign w:val="center"/>
          </w:tcPr>
          <w:p>
            <w:pPr>
              <w:jc w:val="center"/>
              <w:rPr>
                <w:b w:val="0"/>
                <w:sz w:val="16"/>
              </w:rPr>
            </w:pPr>
            <w:r>
              <w:rPr>
                <w:b w:val="0"/>
                <w:sz w:val="16"/>
              </w:rPr>
              <w:t>5A</w:t>
            </w:r>
          </w:p>
        </w:tc>
        <w:tc>
          <w:tcPr>
            <w:tcW w:w="12000" w:type="dxa"/>
            <w:shd w:val="clear" w:color="auto" w:fill="C0C0C0"/>
            <w:noWrap w:val="0"/>
            <w:tcMar>
              <w:top w:w="20" w:type="dxa"/>
              <w:bottom w:w="20" w:type="dxa"/>
            </w:tcMar>
            <w:vAlign w:val="center"/>
          </w:tcPr>
          <w:p>
            <w:pPr>
              <w:jc w:val="center"/>
              <w:rPr>
                <w:b w:val="0"/>
                <w:sz w:val="16"/>
              </w:rPr>
            </w:pPr>
            <w:r>
              <w:rPr>
                <w:b w:val="0"/>
                <w:sz w:val="16"/>
              </w:rPr>
              <w:t>5B</w:t>
            </w:r>
          </w:p>
        </w:tc>
        <w:tc>
          <w:tcPr>
            <w:tcW w:w="12000" w:type="dxa"/>
            <w:shd w:val="clear" w:color="auto" w:fill="C0C0C0"/>
            <w:noWrap w:val="0"/>
            <w:tcMar>
              <w:top w:w="20" w:type="dxa"/>
              <w:bottom w:w="20" w:type="dxa"/>
            </w:tcMar>
            <w:vAlign w:val="center"/>
          </w:tcPr>
          <w:p>
            <w:pPr>
              <w:jc w:val="center"/>
              <w:rPr>
                <w:b w:val="0"/>
                <w:sz w:val="16"/>
              </w:rPr>
            </w:pPr>
            <w:r>
              <w:rPr>
                <w:b w:val="0"/>
                <w:sz w:val="16"/>
              </w:rPr>
              <w:t>5C</w:t>
            </w:r>
          </w:p>
        </w:tc>
        <w:tc>
          <w:tcPr>
            <w:tcW w:w="12000" w:type="dxa"/>
            <w:shd w:val="clear" w:color="auto" w:fill="C0C0C0"/>
            <w:noWrap w:val="0"/>
            <w:tcMar>
              <w:top w:w="20" w:type="dxa"/>
              <w:bottom w:w="20" w:type="dxa"/>
            </w:tcMar>
            <w:vAlign w:val="center"/>
          </w:tcPr>
          <w:p>
            <w:pPr>
              <w:jc w:val="center"/>
              <w:rPr>
                <w:b w:val="0"/>
                <w:sz w:val="16"/>
              </w:rPr>
            </w:pPr>
            <w:r>
              <w:rPr>
                <w:b w:val="0"/>
                <w:sz w:val="16"/>
              </w:rPr>
              <w:t>5D</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5E</w:t>
            </w:r>
          </w:p>
        </w:tc>
        <w:tc>
          <w:tcPr>
            <w:tcW w:w="12000" w:type="dxa"/>
            <w:shd w:val="clear" w:color="auto" w:fill="C0C0C0"/>
            <w:noWrap w:val="0"/>
            <w:tcMar>
              <w:top w:w="20" w:type="dxa"/>
              <w:bottom w:w="20" w:type="dxa"/>
            </w:tcMar>
            <w:vAlign w:val="center"/>
          </w:tcPr>
          <w:p>
            <w:pPr>
              <w:jc w:val="center"/>
              <w:rPr>
                <w:b w:val="0"/>
                <w:sz w:val="16"/>
              </w:rPr>
            </w:pPr>
            <w:r>
              <w:rPr>
                <w:b w:val="0"/>
                <w:sz w:val="16"/>
              </w:rPr>
              <w:t>6A</w:t>
            </w:r>
          </w:p>
        </w:tc>
        <w:tc>
          <w:tcPr>
            <w:tcW w:w="12000" w:type="dxa"/>
            <w:shd w:val="clear" w:color="auto" w:fill="C0C0C0"/>
            <w:noWrap w:val="0"/>
            <w:tcMar>
              <w:top w:w="20" w:type="dxa"/>
              <w:bottom w:w="20" w:type="dxa"/>
            </w:tcMar>
            <w:vAlign w:val="center"/>
          </w:tcPr>
          <w:p>
            <w:pPr>
              <w:jc w:val="center"/>
              <w:rPr>
                <w:b w:val="0"/>
                <w:sz w:val="16"/>
              </w:rPr>
            </w:pPr>
            <w:r>
              <w:rPr>
                <w:b w:val="0"/>
                <w:sz w:val="16"/>
              </w:rPr>
              <w:t>6B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6C</w:t>
            </w:r>
          </w:p>
        </w:tc>
        <w:tc>
          <w:tcPr>
            <w:tcW w:w="12000" w:type="dxa"/>
            <w:shd w:val="clear" w:color="auto" w:fill="C0C0C0"/>
            <w:noWrap w:val="0"/>
            <w:tcMar>
              <w:top w:w="20" w:type="dxa"/>
              <w:bottom w:w="20" w:type="dxa"/>
            </w:tcMar>
            <w:vAlign w:val="center"/>
          </w:tcPr>
          <w:p>
            <w:pPr>
              <w:jc w:val="center"/>
              <w:rPr>
                <w:b w:val="0"/>
                <w:sz w:val="16"/>
              </w:rPr>
            </w:pPr>
            <w:r>
              <w:rPr>
                <w:b w:val="0"/>
                <w:sz w:val="16"/>
              </w:rPr>
              <w:t>Околна среда</w:t>
            </w:r>
          </w:p>
        </w:tc>
        <w:tc>
          <w:tcPr>
            <w:tcW w:w="12000" w:type="dxa"/>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tcW w:w="12000" w:type="dxa"/>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4"/>
              </w:numPr>
              <w:rPr>
                <w:b w:val="0"/>
              </w:rPr>
            </w:pPr>
            <w:r>
              <w:rPr>
                <w:b w:val="0"/>
              </w:rPr>
              <w:t>1А) Стимулиране на иновациите, сътрудничеството и развитието на базата от знания в селските райони</w:t>
            </w:r>
          </w:p>
          <w:p>
            <w:pPr>
              <w:numPr>
                <w:numId w:val="24"/>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4"/>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4"/>
              </w:numPr>
              <w:rPr>
                <w:b w:val="0"/>
              </w:rPr>
            </w:pPr>
            <w:r>
              <w:rPr>
                <w:b w:val="0"/>
              </w:rPr>
              <w:t>4В) Предотвратяване на ерозията на почвите и подобряване на управлението им</w:t>
            </w:r>
          </w:p>
          <w:p>
            <w:pPr>
              <w:numPr>
                <w:numId w:val="24"/>
              </w:numPr>
              <w:rPr>
                <w:b w:val="0"/>
              </w:rPr>
            </w:pPr>
            <w:r>
              <w:rPr>
                <w:b w:val="0"/>
              </w:rPr>
              <w:t xml:space="preserve">5А) Повишаване на ефективността при потреблението на вода в селското стопанство </w:t>
            </w:r>
          </w:p>
          <w:p>
            <w:pPr>
              <w:numPr>
                <w:numId w:val="24"/>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4"/>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4"/>
              </w:numPr>
              <w:rPr>
                <w:b w:val="0"/>
              </w:rPr>
            </w:pPr>
            <w:r>
              <w:rPr>
                <w:b w:val="0"/>
              </w:rPr>
              <w:t>5Г) Намаляване на емисиите на парникови газове и амоняк от селското стопанство</w:t>
            </w:r>
          </w:p>
          <w:p>
            <w:pPr>
              <w:numPr>
                <w:numId w:val="24"/>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5"/>
              </w:numPr>
              <w:rPr>
                <w:b w:val="0"/>
              </w:rPr>
            </w:pPr>
            <w:r>
              <w:rPr>
                <w:b w:val="0"/>
              </w:rPr>
              <w:t>Околна среда</w:t>
            </w:r>
          </w:p>
          <w:p>
            <w:pPr>
              <w:numPr>
                <w:numId w:val="2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6"/>
              </w:numPr>
              <w:rPr>
                <w:b w:val="0"/>
              </w:rPr>
            </w:pPr>
            <w:r>
              <w:rPr>
                <w:b w:val="0"/>
              </w:rPr>
              <w:t>1А) Стимулиране на иновациите, сътрудничеството и развитието на базата от знания в селските райони</w:t>
            </w:r>
          </w:p>
          <w:p>
            <w:pPr>
              <w:numPr>
                <w:numId w:val="2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6"/>
              </w:numPr>
              <w:rPr>
                <w:b w:val="0"/>
              </w:rPr>
            </w:pPr>
            <w:r>
              <w:rPr>
                <w:b w:val="0"/>
              </w:rPr>
              <w:t xml:space="preserve">4Б) Подобряване управлението на водите, включително управлението на торовете и пестицидите </w:t>
            </w:r>
          </w:p>
          <w:p>
            <w:pPr>
              <w:numPr>
                <w:numId w:val="26"/>
              </w:numPr>
              <w:rPr>
                <w:b w:val="0"/>
              </w:rPr>
            </w:pPr>
            <w:r>
              <w:rPr>
                <w:b w:val="0"/>
              </w:rPr>
              <w:t>4В) Предотвратяване на ерозията на почвите и подобряване на управлението им</w:t>
            </w:r>
          </w:p>
          <w:p>
            <w:pPr>
              <w:numPr>
                <w:numId w:val="26"/>
              </w:numPr>
              <w:rPr>
                <w:b w:val="0"/>
              </w:rPr>
            </w:pPr>
            <w:r>
              <w:rPr>
                <w:b w:val="0"/>
              </w:rPr>
              <w:t xml:space="preserve">5А) Повишаване на ефективността при потреблението на вода в селското стопанство </w:t>
            </w:r>
          </w:p>
          <w:p>
            <w:pPr>
              <w:numPr>
                <w:numId w:val="2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6"/>
              </w:numPr>
              <w:rPr>
                <w:b w:val="0"/>
              </w:rPr>
            </w:pPr>
            <w:r>
              <w:rPr>
                <w:b w:val="0"/>
              </w:rPr>
              <w:t>5Г) Намаляване на емисиите на парникови газове и амоняк от селското стопанство</w:t>
            </w:r>
          </w:p>
          <w:p>
            <w:pPr>
              <w:numPr>
                <w:numId w:val="26"/>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7"/>
              </w:numPr>
              <w:rPr>
                <w:b w:val="0"/>
              </w:rPr>
            </w:pPr>
            <w:r>
              <w:rPr>
                <w:b w:val="0"/>
              </w:rPr>
              <w:t>Околна среда</w:t>
            </w:r>
          </w:p>
          <w:p>
            <w:pPr>
              <w:numPr>
                <w:numId w:val="2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8"/>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8"/>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8"/>
              </w:numPr>
              <w:rPr>
                <w:b w:val="0"/>
              </w:rPr>
            </w:pPr>
            <w:r>
              <w:rPr>
                <w:b w:val="0"/>
              </w:rPr>
              <w:t xml:space="preserve">4Б) Подобряване управлението на водите, включително управлението на торовете и пестицидите </w:t>
            </w:r>
          </w:p>
          <w:p>
            <w:pPr>
              <w:numPr>
                <w:numId w:val="28"/>
              </w:numPr>
              <w:rPr>
                <w:b w:val="0"/>
              </w:rPr>
            </w:pPr>
            <w:r>
              <w:rPr>
                <w:b w:val="0"/>
              </w:rPr>
              <w:t>4В) Предотвратяване на ерозията на почвите и подобряване на управлението им</w:t>
            </w:r>
          </w:p>
          <w:p>
            <w:pPr>
              <w:numPr>
                <w:numId w:val="28"/>
              </w:numPr>
              <w:rPr>
                <w:b w:val="0"/>
              </w:rPr>
            </w:pPr>
            <w:r>
              <w:rPr>
                <w:b w:val="0"/>
              </w:rPr>
              <w:t xml:space="preserve">5А) Повишаване на ефективността при потреблението на вода в селското стопанство </w:t>
            </w:r>
          </w:p>
          <w:p>
            <w:pPr>
              <w:numPr>
                <w:numId w:val="2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8"/>
              </w:numPr>
              <w:rPr>
                <w:b w:val="0"/>
              </w:rPr>
            </w:pPr>
            <w:r>
              <w:rPr>
                <w:b w:val="0"/>
              </w:rPr>
              <w:t>5Г) Намаляване на емисиите на парникови газове и амоняк от селското стопанство</w:t>
            </w:r>
          </w:p>
          <w:p>
            <w:pPr>
              <w:numPr>
                <w:numId w:val="28"/>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9"/>
              </w:numPr>
              <w:rPr>
                <w:b w:val="0"/>
              </w:rPr>
            </w:pPr>
            <w:r>
              <w:rPr>
                <w:b w:val="0"/>
              </w:rPr>
              <w:t>Околна среда</w:t>
            </w:r>
          </w:p>
          <w:p>
            <w:pPr>
              <w:numPr>
                <w:numId w:val="2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0"/>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1"/>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1"/>
              </w:numPr>
              <w:rPr>
                <w:b w:val="0"/>
              </w:rPr>
            </w:pPr>
            <w:r>
              <w:rPr>
                <w:b w:val="0"/>
              </w:rPr>
              <w:t xml:space="preserve">4Б) Подобряване управлението на водите, включително управлението на торовете и пестицидите </w:t>
            </w:r>
          </w:p>
          <w:p>
            <w:pPr>
              <w:numPr>
                <w:numId w:val="31"/>
              </w:numPr>
              <w:rPr>
                <w:b w:val="0"/>
              </w:rPr>
            </w:pPr>
            <w:r>
              <w:rPr>
                <w:b w:val="0"/>
              </w:rPr>
              <w:t>4В) Предотвратяване на ерозията на почвите и подобряване на управлението им</w:t>
            </w:r>
          </w:p>
          <w:p>
            <w:pPr>
              <w:numPr>
                <w:numId w:val="31"/>
              </w:numPr>
              <w:rPr>
                <w:b w:val="0"/>
              </w:rPr>
            </w:pPr>
            <w:r>
              <w:rPr>
                <w:b w:val="0"/>
              </w:rPr>
              <w:t xml:space="preserve">5А) Повишаване на ефективността при потреблението на вода в селското стопанство </w:t>
            </w:r>
          </w:p>
          <w:p>
            <w:pPr>
              <w:numPr>
                <w:numId w:val="31"/>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1"/>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1"/>
              </w:numPr>
              <w:rPr>
                <w:b w:val="0"/>
              </w:rPr>
            </w:pPr>
            <w:r>
              <w:rPr>
                <w:b w:val="0"/>
              </w:rPr>
              <w:t>5Г) Намаляване на емисиите на парникови газове и амоняк от селското стопанство</w:t>
            </w:r>
          </w:p>
          <w:p>
            <w:pPr>
              <w:numPr>
                <w:numId w:val="31"/>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2"/>
              </w:numPr>
              <w:rPr>
                <w:b w:val="0"/>
              </w:rPr>
            </w:pPr>
            <w:r>
              <w:rPr>
                <w:b w:val="0"/>
              </w:rPr>
              <w:t>Околна среда</w:t>
            </w:r>
          </w:p>
          <w:p>
            <w:pPr>
              <w:numPr>
                <w:numId w:val="32"/>
              </w:numPr>
              <w:rPr>
                <w:b w:val="0"/>
              </w:rPr>
            </w:pPr>
            <w:r>
              <w:rPr>
                <w:b w:val="0"/>
              </w:rPr>
              <w:t>Смекчаване на последиците от изменението на климата и приспособяване към тях</w:t>
            </w:r>
          </w:p>
          <w:p>
            <w:pPr>
              <w:numPr>
                <w:numId w:val="3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4"/>
              </w:numPr>
              <w:rPr>
                <w:b w:val="0"/>
              </w:rPr>
            </w:pPr>
            <w:r>
              <w:rPr>
                <w:b w:val="0"/>
              </w:rPr>
              <w:t>Околна среда</w:t>
            </w:r>
          </w:p>
          <w:p>
            <w:pPr>
              <w:numPr>
                <w:numId w:val="34"/>
              </w:numPr>
              <w:rPr>
                <w:b w:val="0"/>
              </w:rPr>
            </w:pPr>
            <w:r>
              <w:rPr>
                <w:b w:val="0"/>
              </w:rPr>
              <w:t>Смекчаване на последиците от изменението на климата и приспособяване към тях</w:t>
            </w:r>
          </w:p>
          <w:p>
            <w:pPr>
              <w:numPr>
                <w:numId w:val="3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6"/>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7"/>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3"/>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3"/>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0"/>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4"/>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9"/>
              </w:numPr>
              <w:rPr>
                <w:b w:val="0"/>
              </w:rPr>
            </w:pPr>
            <w:r>
              <w:rPr>
                <w:b w:val="0"/>
              </w:rPr>
              <w:t>Околна среда</w:t>
            </w:r>
          </w:p>
          <w:p>
            <w:pPr>
              <w:numPr>
                <w:numId w:val="5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0"/>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1"/>
              </w:numPr>
              <w:rPr>
                <w:b w:val="0"/>
              </w:rPr>
            </w:pPr>
            <w:r>
              <w:rPr>
                <w:b w:val="0"/>
              </w:rPr>
              <w:t xml:space="preserve">4Б) Подобряване управлението на водите, включително управлението на торовете и пестицидите </w:t>
            </w:r>
          </w:p>
          <w:p>
            <w:pPr>
              <w:numPr>
                <w:numId w:val="61"/>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2"/>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3"/>
              </w:numPr>
              <w:rPr>
                <w:b w:val="0"/>
              </w:rPr>
            </w:pPr>
            <w:r>
              <w:rPr>
                <w:b w:val="0"/>
              </w:rPr>
              <w:t xml:space="preserve">4Б) Подобряване управлението на водите, включително управлението на торовете и пестицидите </w:t>
            </w:r>
          </w:p>
          <w:p>
            <w:pPr>
              <w:numPr>
                <w:numId w:val="63"/>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4"/>
              </w:numPr>
              <w:rPr>
                <w:b w:val="0"/>
              </w:rPr>
            </w:pPr>
            <w:r>
              <w:rPr>
                <w:b w:val="0"/>
              </w:rPr>
              <w:t>Околна среда</w:t>
            </w:r>
          </w:p>
          <w:p>
            <w:pPr>
              <w:numPr>
                <w:numId w:val="6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9"/>
              </w:numPr>
              <w:rPr>
                <w:b w:val="0"/>
              </w:rPr>
            </w:pPr>
            <w:r>
              <w:rPr>
                <w:b w:val="0"/>
              </w:rPr>
              <w:t>Околна среда</w:t>
            </w:r>
          </w:p>
          <w:p>
            <w:pPr>
              <w:numPr>
                <w:numId w:val="6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0"/>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1"/>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2"/>
              </w:numPr>
              <w:rPr>
                <w:b w:val="0"/>
              </w:rPr>
            </w:pPr>
            <w:r>
              <w:rPr>
                <w:b w:val="0"/>
              </w:rPr>
              <w:t>4В) Предотвратяване на ерозията на почвите и подобряване на управлението им</w:t>
            </w:r>
          </w:p>
          <w:p>
            <w:pPr>
              <w:numPr>
                <w:numId w:val="7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3"/>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5"/>
              </w:numPr>
              <w:rPr>
                <w:b w:val="0"/>
              </w:rPr>
            </w:pPr>
            <w:r>
              <w:rPr>
                <w:b w:val="0"/>
              </w:rPr>
              <w:t>Околна среда</w:t>
            </w:r>
          </w:p>
          <w:p>
            <w:pPr>
              <w:numPr>
                <w:numId w:val="75"/>
              </w:numPr>
              <w:rPr>
                <w:b w:val="0"/>
              </w:rPr>
            </w:pPr>
            <w:r>
              <w:rPr>
                <w:b w:val="0"/>
              </w:rPr>
              <w:t>Смекчаване на последиците от изменението на климата и приспособяване към тях</w:t>
            </w:r>
          </w:p>
          <w:p>
            <w:pPr>
              <w:numPr>
                <w:numId w:val="7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8"/>
              </w:numPr>
              <w:rPr>
                <w:b w:val="0"/>
              </w:rPr>
            </w:pPr>
            <w:r>
              <w:rPr>
                <w:b w:val="0"/>
              </w:rPr>
              <w:t xml:space="preserve">5А) Повишаване на ефективността при потреблението на вода в селското стопанство </w:t>
            </w:r>
          </w:p>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0"/>
              </w:numPr>
              <w:rPr>
                <w:b w:val="0"/>
              </w:rPr>
            </w:pPr>
            <w:r>
              <w:rPr>
                <w:b w:val="0"/>
              </w:rPr>
              <w:t>1А) Стимулиране на иновациите, сътрудничеството и развитието на базата от знания в селските райони</w:t>
            </w:r>
          </w:p>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1"/>
              </w:numPr>
              <w:rPr>
                <w:b w:val="0"/>
              </w:rPr>
            </w:pPr>
            <w:r>
              <w:rPr>
                <w:b w:val="0"/>
              </w:rPr>
              <w:t>Околна среда</w:t>
            </w:r>
          </w:p>
          <w:p>
            <w:pPr>
              <w:numPr>
                <w:numId w:val="8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2"/>
              </w:numPr>
              <w:rPr>
                <w:b w:val="0"/>
              </w:rPr>
            </w:pPr>
            <w:r>
              <w:rPr>
                <w:b w:val="0"/>
              </w:rPr>
              <w:t xml:space="preserve">6Б) Стимулиране на местното развитие в селските райони </w:t>
            </w:r>
          </w:p>
          <w:p>
            <w:pPr>
              <w:numPr>
                <w:numId w:val="82"/>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4"/>
              </w:numPr>
              <w:rPr>
                <w:b w:val="0"/>
              </w:rPr>
            </w:pPr>
            <w:r>
              <w:rPr>
                <w:b w:val="0"/>
              </w:rPr>
              <w:t>М01 — Трансфер на знания и действия за осведомяване (член 14)</w:t>
            </w:r>
          </w:p>
          <w:p>
            <w:pPr>
              <w:numPr>
                <w:numId w:val="84"/>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4"/>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5"/>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6"/>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7"/>
              </w:numPr>
              <w:rPr>
                <w:b w:val="0"/>
              </w:rPr>
            </w:pPr>
            <w:r>
              <w:rPr>
                <w:b w:val="0"/>
              </w:rPr>
              <w:t>М01 — Трансфер на знания и действия за осведомяване (член 14)</w:t>
            </w:r>
          </w:p>
          <w:p>
            <w:pPr>
              <w:numPr>
                <w:numId w:val="87"/>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7"/>
              </w:numPr>
              <w:rPr>
                <w:b w:val="0"/>
              </w:rPr>
            </w:pPr>
            <w:r>
              <w:rPr>
                <w:b w:val="0"/>
              </w:rPr>
              <w:t>M04 — Инвестиции в материални активи (член 17)</w:t>
            </w:r>
          </w:p>
          <w:p>
            <w:pPr>
              <w:numPr>
                <w:numId w:val="87"/>
              </w:numPr>
              <w:rPr>
                <w:b w:val="0"/>
              </w:rPr>
            </w:pPr>
            <w:r>
              <w:rPr>
                <w:b w:val="0"/>
              </w:rPr>
              <w:t>M06 — Развитие на стопанства и предприятия (член 19)</w:t>
            </w:r>
          </w:p>
          <w:p>
            <w:pPr>
              <w:numPr>
                <w:numId w:val="87"/>
              </w:numPr>
              <w:rPr>
                <w:b w:val="0"/>
              </w:rPr>
            </w:pPr>
            <w:r>
              <w:rPr>
                <w:b w:val="0"/>
              </w:rPr>
              <w:t>M16 — Сътрудничество (член 35)</w:t>
            </w:r>
          </w:p>
          <w:p>
            <w:pPr>
              <w:numPr>
                <w:numId w:val="87"/>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387 млн. евро публични разходи (13%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8"/>
              </w:numPr>
            </w:pPr>
            <w:r>
              <w:t>М01 — Трансфер на знания и действия за осведомяване (член 14)</w:t>
            </w:r>
          </w:p>
          <w:p>
            <w:pPr>
              <w:numPr>
                <w:numId w:val="88"/>
              </w:numPr>
            </w:pPr>
            <w:r>
              <w:t>М02 —  Консултантски услуги, услуги по управление на стопанство и услуги по заместване в стопанство (член 15)</w:t>
            </w:r>
          </w:p>
          <w:p>
            <w:pPr>
              <w:numPr>
                <w:numId w:val="88"/>
              </w:numPr>
            </w:pPr>
            <w:r>
              <w:t>M04 — Инвестиции в материални активи (член 17)</w:t>
            </w:r>
          </w:p>
          <w:p>
            <w:pPr>
              <w:numPr>
                <w:numId w:val="88"/>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151 млн. евро публични разходи (5 %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9"/>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18 500 000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0"/>
              </w:numPr>
              <w:rPr>
                <w:b w:val="0"/>
              </w:rPr>
            </w:pPr>
            <w:r>
              <w:rPr>
                <w:b w:val="0"/>
              </w:rPr>
              <w:t>М01 — Трансфер на знания и действия за осведомяване (член 14)</w:t>
            </w:r>
          </w:p>
          <w:p>
            <w:pPr>
              <w:numPr>
                <w:numId w:val="90"/>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0"/>
              </w:numPr>
              <w:rPr>
                <w:b w:val="0"/>
              </w:rPr>
            </w:pPr>
            <w:r>
              <w:rPr>
                <w:b w:val="0"/>
              </w:rPr>
              <w:t>M04 — Инвестиции в материални активи (член 17)</w:t>
            </w:r>
          </w:p>
          <w:p>
            <w:pPr>
              <w:numPr>
                <w:numId w:val="90"/>
              </w:numPr>
              <w:rPr>
                <w:b w:val="0"/>
              </w:rPr>
            </w:pPr>
            <w:r>
              <w:rPr>
                <w:b w:val="0"/>
              </w:rPr>
              <w:t>M06 — Развитие на стопанства и предприятия (член 19)</w:t>
            </w:r>
          </w:p>
          <w:p>
            <w:pPr>
              <w:numPr>
                <w:numId w:val="90"/>
              </w:numPr>
              <w:rPr>
                <w:b w:val="0"/>
              </w:rPr>
            </w:pPr>
            <w:r>
              <w:rPr>
                <w:b w:val="0"/>
              </w:rPr>
              <w:t>M09 — Създаване на групи и организации на производителите (член 27)</w:t>
            </w:r>
          </w:p>
          <w:p>
            <w:pPr>
              <w:numPr>
                <w:numId w:val="90"/>
              </w:numPr>
              <w:rPr>
                <w:b w:val="0"/>
              </w:rPr>
            </w:pPr>
            <w:r>
              <w:rPr>
                <w:b w:val="0"/>
              </w:rPr>
              <w:t>M14 — Хуманно отношение към животните (член 33)</w:t>
            </w:r>
          </w:p>
          <w:p>
            <w:pPr>
              <w:numPr>
                <w:numId w:val="90"/>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274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330 проекта, като тя има бюджет от 232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17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1"/>
              </w:numPr>
            </w:pPr>
            <w:r>
              <w:t>М01 — Трансфер на знания и действия за осведомяване (член 14)</w:t>
            </w:r>
          </w:p>
          <w:p>
            <w:pPr>
              <w:numPr>
                <w:numId w:val="91"/>
              </w:numPr>
            </w:pPr>
            <w:r>
              <w:t>М02 —  Консултантски услуги, услуги по управление на стопанство и услуги по заместване в стопанство (член 15)</w:t>
            </w:r>
          </w:p>
          <w:p>
            <w:pPr>
              <w:numPr>
                <w:numId w:val="91"/>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28 млн. евро публични разходи или 1% от общия. Към бюджета на ПО се отнасят и 27,6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2"/>
              </w:numPr>
              <w:rPr>
                <w:b w:val="0"/>
              </w:rPr>
            </w:pPr>
            <w:r>
              <w:rPr>
                <w:b w:val="0"/>
              </w:rPr>
              <w:t>М01 — Трансфер на знания и действия за осведомяване (член 14)</w:t>
            </w:r>
          </w:p>
          <w:p>
            <w:pPr>
              <w:numPr>
                <w:numId w:val="92"/>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2"/>
              </w:numPr>
              <w:rPr>
                <w:b w:val="0"/>
              </w:rPr>
            </w:pPr>
            <w:r>
              <w:rPr>
                <w:b w:val="0"/>
              </w:rPr>
              <w:t>M04 — Инвестиции в материални активи (член 17)</w:t>
            </w:r>
          </w:p>
          <w:p>
            <w:pPr>
              <w:numPr>
                <w:numId w:val="92"/>
              </w:numPr>
              <w:rPr>
                <w:b w:val="0"/>
              </w:rPr>
            </w:pPr>
            <w:r>
              <w:rPr>
                <w:b w:val="0"/>
              </w:rPr>
              <w:t>M10 — Агроекология и климат (член 28)</w:t>
            </w:r>
          </w:p>
          <w:p>
            <w:pPr>
              <w:numPr>
                <w:numId w:val="92"/>
              </w:numPr>
              <w:rPr>
                <w:b w:val="0"/>
              </w:rPr>
            </w:pPr>
            <w:r>
              <w:rPr>
                <w:b w:val="0"/>
              </w:rPr>
              <w:t>М11 — Биологично земеделие (член 29)</w:t>
            </w:r>
          </w:p>
          <w:p>
            <w:pPr>
              <w:numPr>
                <w:numId w:val="92"/>
              </w:numPr>
              <w:rPr>
                <w:b w:val="0"/>
              </w:rPr>
            </w:pPr>
            <w:r>
              <w:rPr>
                <w:b w:val="0"/>
              </w:rPr>
              <w:t>M12 — Плащания по „Натура 2000“ и Рамковата директива за водите (член 30)</w:t>
            </w:r>
          </w:p>
          <w:p>
            <w:pPr>
              <w:numPr>
                <w:numId w:val="92"/>
              </w:numPr>
              <w:rPr>
                <w:b w:val="0"/>
              </w:rPr>
            </w:pPr>
            <w:r>
              <w:rPr>
                <w:b w:val="0"/>
              </w:rPr>
              <w:t>М13 — Плащания за райони, изправени пред природни или други специфични ограничения (член 31)</w:t>
            </w:r>
          </w:p>
          <w:p>
            <w:pPr>
              <w:numPr>
                <w:numId w:val="92"/>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3"/>
              </w:numPr>
              <w:rPr>
                <w:b w:val="0"/>
              </w:rPr>
            </w:pPr>
            <w:r>
              <w:rPr>
                <w:b w:val="0"/>
              </w:rPr>
              <w:t>М08 — Инвестиции в развитие на горските райони и подобряване на жизнеспособността на горите (членове 21 — 26)</w:t>
            </w:r>
          </w:p>
          <w:p>
            <w:pPr>
              <w:numPr>
                <w:numId w:val="93"/>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845 млн. евро публични разходи или 29 % от общия бюджет на Програмата. В рамките на приоритета са избрани: 1) мерки – М01, М02 и М16, които имат бюджет 10 млн. евро; 2)  мерки– М10, М11, М12,М13, с бюджет 799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 млн. евро; 4) мерки за екосистемни услуги в горите, с бюджет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4"/>
              </w:numPr>
            </w:pPr>
            <w:r>
              <w:t>М01 — Трансфер на знания и действия за осведомяване (член 14)</w:t>
            </w:r>
          </w:p>
          <w:p>
            <w:pPr>
              <w:numPr>
                <w:numId w:val="94"/>
              </w:numPr>
            </w:pPr>
            <w:r>
              <w:t>М02 —  Консултантски услуги, услуги по управление на стопанство и услуги по заместване в стопанство (член 15)</w:t>
            </w:r>
          </w:p>
          <w:p>
            <w:pPr>
              <w:numPr>
                <w:numId w:val="94"/>
              </w:numPr>
            </w:pPr>
            <w:r>
              <w:t>M04 — Инвестиции в материални активи (член 17)</w:t>
            </w:r>
          </w:p>
          <w:p>
            <w:pPr>
              <w:numPr>
                <w:numId w:val="94"/>
              </w:numPr>
            </w:pPr>
            <w:r>
              <w:t>M10 — Агроекология и климат (член 28)</w:t>
            </w:r>
          </w:p>
          <w:p>
            <w:pPr>
              <w:numPr>
                <w:numId w:val="94"/>
              </w:numPr>
            </w:pPr>
            <w:r>
              <w:t>М11 — Биологично земеделие (член 29)</w:t>
            </w:r>
          </w:p>
          <w:p>
            <w:pPr>
              <w:numPr>
                <w:numId w:val="94"/>
              </w:numPr>
            </w:pPr>
            <w:r>
              <w:t>M12 — Плащания по „Натура 2000“ и Рамковата директива за водите (член 30)</w:t>
            </w:r>
          </w:p>
          <w:p>
            <w:pPr>
              <w:numPr>
                <w:numId w:val="94"/>
              </w:numPr>
            </w:pPr>
            <w:r>
              <w:t>М13 — Плащания за райони, изправени пред природни или други специфични ограничения (член 31)</w:t>
            </w:r>
          </w:p>
          <w:p>
            <w:pPr>
              <w:numPr>
                <w:numId w:val="94"/>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5"/>
              </w:numPr>
            </w:pPr>
            <w:r>
              <w:t>М08 — Инвестиции в развитие на горските райони и подобряване на жизнеспособността на горите (членове 21 — 26)</w:t>
            </w:r>
          </w:p>
          <w:p>
            <w:pPr>
              <w:numPr>
                <w:numId w:val="95"/>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6"/>
              </w:numPr>
            </w:pPr>
            <w:r>
              <w:t>М01 — Трансфер на знания и действия за осведомяване (член 14)</w:t>
            </w:r>
          </w:p>
          <w:p>
            <w:pPr>
              <w:numPr>
                <w:numId w:val="96"/>
              </w:numPr>
            </w:pPr>
            <w:r>
              <w:t>М02 —  Консултантски услуги, услуги по управление на стопанство и услуги по заместване в стопанство (член 15)</w:t>
            </w:r>
          </w:p>
          <w:p>
            <w:pPr>
              <w:numPr>
                <w:numId w:val="96"/>
              </w:numPr>
            </w:pPr>
            <w:r>
              <w:t>M04 — Инвестиции в материални активи (член 17)</w:t>
            </w:r>
          </w:p>
          <w:p>
            <w:pPr>
              <w:numPr>
                <w:numId w:val="96"/>
              </w:numPr>
            </w:pPr>
            <w:r>
              <w:t>M10 — Агроекология и климат (член 28)</w:t>
            </w:r>
          </w:p>
          <w:p>
            <w:pPr>
              <w:numPr>
                <w:numId w:val="96"/>
              </w:numPr>
            </w:pPr>
            <w:r>
              <w:t>М11 — Биологично земеделие (член 29)</w:t>
            </w:r>
          </w:p>
          <w:p>
            <w:pPr>
              <w:numPr>
                <w:numId w:val="96"/>
              </w:numPr>
            </w:pPr>
            <w:r>
              <w:t>M12 — Плащания по „Натура 2000“ и Рамковата директива за водите (член 30)</w:t>
            </w:r>
          </w:p>
          <w:p>
            <w:pPr>
              <w:numPr>
                <w:numId w:val="96"/>
              </w:numPr>
            </w:pPr>
            <w:r>
              <w:t>М13 — Плащания за райони, изправени пред природни или други специфични ограничения (член 31)</w:t>
            </w:r>
          </w:p>
          <w:p>
            <w:pPr>
              <w:numPr>
                <w:numId w:val="96"/>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7"/>
              </w:numPr>
            </w:pPr>
            <w:r>
              <w:t>М08 — Инвестиции в развитие на горските райони и подобряване на жизнеспособността на горите (членове 21 — 26)</w:t>
            </w:r>
          </w:p>
          <w:p>
            <w:pPr>
              <w:numPr>
                <w:numId w:val="97"/>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8"/>
              </w:numPr>
              <w:rPr>
                <w:b w:val="0"/>
              </w:rPr>
            </w:pPr>
            <w:r>
              <w:rPr>
                <w:b w:val="0"/>
              </w:rPr>
              <w:t>М01 — Трансфер на знания и действия за осведомяване (член 14)</w:t>
            </w:r>
          </w:p>
          <w:p>
            <w:pPr>
              <w:numPr>
                <w:numId w:val="9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8"/>
              </w:numPr>
              <w:rPr>
                <w:b w:val="0"/>
              </w:rPr>
            </w:pPr>
            <w:r>
              <w:rPr>
                <w:b w:val="0"/>
              </w:rPr>
              <w:t>M04 — Инвестиции в материални активи (член 17)</w:t>
            </w:r>
          </w:p>
          <w:p>
            <w:pPr>
              <w:numPr>
                <w:numId w:val="98"/>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9"/>
              </w:numPr>
            </w:pPr>
            <w:r>
              <w:t>М01 — Трансфер на знания и действия за осведомяване (член 14)</w:t>
            </w:r>
          </w:p>
          <w:p>
            <w:pPr>
              <w:numPr>
                <w:numId w:val="99"/>
              </w:numPr>
            </w:pPr>
            <w:r>
              <w:t>М02 —  Консултантски услуги, услуги по управление на стопанство и услуги по заместване в стопанство (член 15)</w:t>
            </w:r>
          </w:p>
          <w:p>
            <w:pPr>
              <w:numPr>
                <w:numId w:val="99"/>
              </w:numPr>
            </w:pPr>
            <w:r>
              <w:t>M04 — Инвестиции в материални активи (член 17)</w:t>
            </w:r>
          </w:p>
          <w:p>
            <w:pPr>
              <w:numPr>
                <w:numId w:val="99"/>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М07 — Основни услуги и обновяване на селата в селските райони (член 20)</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97 млн.евро или 3,3 %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M10 — Агроекология и климат (член 28)</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47 млн.евро или 1,6%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4%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90 % от бюджета на ПО 5Г (40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2"/>
              </w:numPr>
            </w:pPr>
            <w:r>
              <w:t>М01 — Трансфер на знания и действия за осведомяване (член 14)</w:t>
            </w:r>
          </w:p>
          <w:p>
            <w:pPr>
              <w:numPr>
                <w:numId w:val="102"/>
              </w:numPr>
            </w:pPr>
            <w:r>
              <w:t>М02 —  Консултантски услуги, услуги по управление на стопанство и услуги по заместване в стопанство (член 15)</w:t>
            </w:r>
          </w:p>
          <w:p>
            <w:pPr>
              <w:numPr>
                <w:numId w:val="102"/>
              </w:numPr>
            </w:pPr>
            <w:r>
              <w:t>М08 — Инвестиции в развитие на горските райони и подобряване на жизнеспособността на горите (членове 21 — 26)</w:t>
            </w:r>
          </w:p>
          <w:p>
            <w:pPr>
              <w:numPr>
                <w:numId w:val="10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7,2 млн. евро публични разходи, или 0,3 %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3"/>
              </w:numPr>
              <w:rPr>
                <w:b w:val="0"/>
              </w:rPr>
            </w:pPr>
            <w:r>
              <w:rPr>
                <w:b w:val="0"/>
              </w:rPr>
              <w:t>M06 — Развитие на стопанства и предприятия (член 19)</w:t>
            </w:r>
          </w:p>
          <w:p>
            <w:pPr>
              <w:numPr>
                <w:numId w:val="103"/>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61 млн.евро публични разходи или 2 %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4"/>
              </w:numPr>
            </w:pPr>
            <w:r>
              <w:t>М07 — Основни услуги и обновяване на селата в селските райони (член 20)</w:t>
            </w:r>
          </w:p>
          <w:p>
            <w:pPr>
              <w:numPr>
                <w:numId w:val="104"/>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684 млн. евро или 24 %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5"/>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42 млн. евро или 1,5%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29%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000" w:type="dxa"/>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tcW w:w="12000" w:type="dxa"/>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bottom"/>
          </w:tcPr>
          <w:p>
            <w:pPr>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0,54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516 682 066,00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 M16, M21</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197 020 524,40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18 500 000,00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0,04</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433 729 720,50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28 259 052,30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1 129 324 674,20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22 345 329,10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tcW w:w="12000" w:type="dxa"/>
            <w:shd w:val="clear" w:color="auto" w:fill="FFFFFF"/>
            <w:noWrap w:val="0"/>
            <w:tcMar>
              <w:top w:w="20" w:type="dxa"/>
              <w:bottom w:w="20" w:type="dxa"/>
            </w:tcMar>
            <w:vAlign w:val="center"/>
          </w:tcPr>
          <w:p>
            <w:pPr>
              <w:spacing w:before="20" w:after="20"/>
              <w:jc w:val="lef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79 925 384,00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419 024 651,40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238 252 422,00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154 266 117,00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115 476 696,00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47 098 272,00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7 425 187,80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3 500,00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83 426 861,10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780 481 494,80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42 000 000,00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1C, 1A, 5E, 5A, 5B, 6A, 2A, 3B, 1B, 5D, 5C, 3A, 2B, 6C,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M06, M08, M13, M07, M12, M19, M01, M14, M02, M10, M09, M16, M11,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2B, 3B, 1A, 5C, 3A, 1C, 5B, 6B, 6A, 2A, 6C, 5D, 5A, 1B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M19, M02, M12, M10, M08, M07, M14, M09, M06, M01, M11, M16, M13,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6B, 5E, 1C, 1B, 2A, 6A, 2B, 3B, 5D, 6C, 5B, 1A, 5C, 5A, 3A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M15, M12, M10, M09, M01, M06, M16, M02, M19, M14, M11, M07, M08, M13</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5A, 6B, 5C,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M02, M08, 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2A, 6A,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M07, M15, M08, M19, M04, M02, M01, M16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6B, 5C, 2A,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M16, M19, M04, M02,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3A, 3B, 6A, 1C, 2A, 5E, 6B, 2B, 5B, 5C, 5A, 1B, 1A, 5D,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M14, M16, M02, M06, M07, M04, M12, M08, M15, M10, M19, M09, M11, M01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6"/>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7"/>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8"/>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09"/>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09"/>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09"/>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09"/>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0"/>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1"/>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1"/>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2"/>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5"/>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5"/>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5"/>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6"/>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6"/>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2025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Корекция EURI (B)</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5 700,00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1 000,00</w:t>
            </w:r>
          </w:p>
        </w:tc>
        <w:tc>
          <w:tcPr>
            <w:tcW w:w="800" w:type="pct"/>
            <w:shd w:val="clear" w:color="auto" w:fill="FFFFFF"/>
            <w:noWrap w:val="0"/>
            <w:tcMar>
              <w:top w:w="20" w:type="dxa"/>
              <w:bottom w:w="20" w:type="dxa"/>
            </w:tcMar>
            <w:vAlign w:val="center"/>
          </w:tcPr>
          <w:p>
            <w:pPr>
              <w:jc w:val="right"/>
            </w:pPr>
            <w:r>
              <w:t>4 700,00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732 202 590,40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44 600 000,00</w:t>
            </w:r>
          </w:p>
        </w:tc>
        <w:tc>
          <w:tcPr>
            <w:tcW w:w="800" w:type="pct"/>
            <w:shd w:val="clear" w:color="auto" w:fill="FFFFFF"/>
            <w:noWrap w:val="0"/>
            <w:tcMar>
              <w:top w:w="20" w:type="dxa"/>
              <w:bottom w:w="20" w:type="dxa"/>
            </w:tcMar>
            <w:vAlign w:val="center"/>
          </w:tcPr>
          <w:p>
            <w:pPr>
              <w:jc w:val="right"/>
            </w:pPr>
            <w:r>
              <w:t>687 602 590,40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461 988 772,80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72 616 861,00</w:t>
            </w:r>
          </w:p>
        </w:tc>
        <w:tc>
          <w:tcPr>
            <w:tcW w:w="800" w:type="pct"/>
            <w:shd w:val="clear" w:color="auto" w:fill="FFFFFF"/>
            <w:noWrap w:val="0"/>
            <w:tcMar>
              <w:top w:w="20" w:type="dxa"/>
              <w:bottom w:w="20" w:type="dxa"/>
            </w:tcMar>
            <w:vAlign w:val="center"/>
          </w:tcPr>
          <w:p>
            <w:pPr>
              <w:jc w:val="right"/>
            </w:pPr>
            <w:r>
              <w:t>389 371 911,80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145,00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145,00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1 151 670 003,30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19 734 231,00</w:t>
            </w:r>
          </w:p>
        </w:tc>
        <w:tc>
          <w:tcPr>
            <w:tcW w:w="800" w:type="pct"/>
            <w:shd w:val="clear" w:color="auto" w:fill="FFFFFF"/>
            <w:noWrap w:val="0"/>
            <w:tcMar>
              <w:top w:w="20" w:type="dxa"/>
              <w:bottom w:w="20" w:type="dxa"/>
            </w:tcMar>
            <w:vAlign w:val="center"/>
          </w:tcPr>
          <w:p>
            <w:pPr>
              <w:jc w:val="right"/>
            </w:pPr>
            <w:r>
              <w:t>1 131 935 772,30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488 177 961,80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56 985 769,00</w:t>
            </w:r>
          </w:p>
        </w:tc>
        <w:tc>
          <w:tcPr>
            <w:tcW w:w="800" w:type="pct"/>
            <w:shd w:val="clear" w:color="auto" w:fill="FFFFFF"/>
            <w:noWrap w:val="0"/>
            <w:tcMar>
              <w:top w:w="20" w:type="dxa"/>
              <w:bottom w:w="20" w:type="dxa"/>
            </w:tcMar>
            <w:vAlign w:val="center"/>
          </w:tcPr>
          <w:p>
            <w:pPr>
              <w:jc w:val="right"/>
            </w:pPr>
            <w:r>
              <w:t>431 192 192,80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42 230,00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42 230,00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r>
              <w:t>600,00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905 908 355,90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905 908 355,90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879,00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879,00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2025 г. (а): </w:t>
      </w:r>
      <w:r>
        <w:t>5 700,00</w:t>
      </w:r>
    </w:p>
    <w:p>
      <w:r>
        <w:t xml:space="preserve">Корекции за допълнителни плащания (б): </w:t>
      </w:r>
    </w:p>
    <w:p>
      <w:r>
        <w:t xml:space="preserve">Корекция EURI (B): </w:t>
      </w:r>
      <w:r>
        <w:t>1 000,00</w:t>
      </w:r>
    </w:p>
    <w:p>
      <w:r>
        <w:t xml:space="preserve">Целева абсолютна стойност (A—Б—В): </w:t>
      </w:r>
      <w:r>
        <w:t>4 700,00</w:t>
      </w:r>
    </w:p>
    <w:p>
      <w:pPr>
        <w:pStyle w:val="Heading4"/>
        <w:jc w:val="left"/>
      </w:pPr>
      <w:r>
        <w:t>Общо публични разходи П2 (в евро)</w:t>
      </w:r>
    </w:p>
    <w:p>
      <w:r>
        <w:t xml:space="preserve">Applicable: </w:t>
      </w:r>
      <w:r>
        <w:t>Да</w:t>
      </w:r>
    </w:p>
    <w:p>
      <w:r>
        <w:t xml:space="preserve">Цел за 2025 г. (а): </w:t>
      </w:r>
      <w:r>
        <w:t>732 202 590,40</w:t>
      </w:r>
    </w:p>
    <w:p>
      <w:r>
        <w:t xml:space="preserve">Корекции за допълнителни плащания (б): </w:t>
      </w:r>
    </w:p>
    <w:p>
      <w:r>
        <w:t xml:space="preserve">Корекция EURI (B): </w:t>
      </w:r>
      <w:r>
        <w:t>44 600 000,00</w:t>
      </w:r>
    </w:p>
    <w:p>
      <w:r>
        <w:t xml:space="preserve">Целева абсолютна стойност (A—Б—В): </w:t>
      </w:r>
      <w:r>
        <w:t>687 602 590,40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2025 г. (а): </w:t>
      </w:r>
      <w:r>
        <w:t>461 988 772,80</w:t>
      </w:r>
    </w:p>
    <w:p>
      <w:r>
        <w:t xml:space="preserve">Корекции за допълнителни плащания (б): </w:t>
      </w:r>
    </w:p>
    <w:p>
      <w:r>
        <w:t xml:space="preserve">Корекция EURI (B): </w:t>
      </w:r>
      <w:r>
        <w:t>72 616 861,00</w:t>
      </w:r>
    </w:p>
    <w:p>
      <w:r>
        <w:t xml:space="preserve">Целева абсолютна стойност (A—Б—В): </w:t>
      </w:r>
      <w:r>
        <w:t>389 371 911,80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2025 г. (а): </w:t>
      </w:r>
      <w:r>
        <w:t>145,00</w:t>
      </w:r>
    </w:p>
    <w:p>
      <w:r>
        <w:t xml:space="preserve">Корекции за допълнителни плащания (б): </w:t>
      </w:r>
    </w:p>
    <w:p>
      <w:r>
        <w:t xml:space="preserve">Корекция EURI (B): </w:t>
      </w:r>
      <w:r>
        <w:t>0,00</w:t>
      </w:r>
    </w:p>
    <w:p>
      <w:r>
        <w:t xml:space="preserve">Целева абсолютна стойност (A—Б—В): </w:t>
      </w:r>
      <w:r>
        <w:t>145,00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2025 г. (а): </w:t>
      </w:r>
      <w:r>
        <w:t>60,00</w:t>
      </w:r>
    </w:p>
    <w:p>
      <w:r>
        <w:t xml:space="preserve">Корекции за допълнителни плащания (б): </w:t>
      </w:r>
    </w:p>
    <w:p>
      <w:r>
        <w:t xml:space="preserve">Корекция EURI (B): </w:t>
      </w:r>
      <w:r>
        <w:t>0,00</w:t>
      </w:r>
    </w:p>
    <w:p>
      <w:r>
        <w:t xml:space="preserve">Целева абсолютна стойност (A—Б—В): </w:t>
      </w:r>
      <w:r>
        <w:t>60,00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2025 г. (а): </w:t>
      </w:r>
      <w:r>
        <w:t>1 151 670 003,30</w:t>
      </w:r>
    </w:p>
    <w:p>
      <w:r>
        <w:t xml:space="preserve">Корекции за допълнителни плащания (б): </w:t>
      </w:r>
    </w:p>
    <w:p>
      <w:r>
        <w:t xml:space="preserve">Корекция EURI (B): </w:t>
      </w:r>
      <w:r>
        <w:t>19 734 231,00</w:t>
      </w:r>
    </w:p>
    <w:p>
      <w:r>
        <w:t xml:space="preserve">Целева абсолютна стойност (A—Б—В): </w:t>
      </w:r>
      <w:r>
        <w:t>1 131 935 772,30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2025 г. (а): </w:t>
      </w:r>
      <w:r>
        <w:t>610 000,00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2025 г. (а): </w:t>
      </w:r>
      <w:r>
        <w:t>488 177 961,80</w:t>
      </w:r>
    </w:p>
    <w:p>
      <w:r>
        <w:t xml:space="preserve">Корекции за допълнителни плащания (б): </w:t>
      </w:r>
    </w:p>
    <w:p>
      <w:r>
        <w:t xml:space="preserve">Корекция EURI (B): </w:t>
      </w:r>
      <w:r>
        <w:t>56 985 769,00</w:t>
      </w:r>
    </w:p>
    <w:p>
      <w:r>
        <w:t xml:space="preserve">Целева абсолютна стойност (A—Б—В): </w:t>
      </w:r>
      <w:r>
        <w:t>431 192 192,80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2025 г. (а): </w:t>
      </w:r>
      <w:r>
        <w:t>42 230,00</w:t>
      </w:r>
    </w:p>
    <w:p>
      <w:r>
        <w:t xml:space="preserve">Корекции за допълнителни плащания (б): </w:t>
      </w:r>
    </w:p>
    <w:p>
      <w:r>
        <w:t xml:space="preserve">Корекция EURI (B): </w:t>
      </w:r>
      <w:r>
        <w:t>0,00</w:t>
      </w:r>
    </w:p>
    <w:p>
      <w:r>
        <w:t xml:space="preserve">Целева абсолютна стойност (A—Б—В): </w:t>
      </w:r>
      <w:r>
        <w:t>42 230,00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2025 г. (а): </w:t>
      </w:r>
      <w:r>
        <w:t>670,00</w:t>
      </w:r>
    </w:p>
    <w:p>
      <w:r>
        <w:t xml:space="preserve">Корекции за допълнителни плащания (б): </w:t>
      </w:r>
    </w:p>
    <w:p>
      <w:r>
        <w:t xml:space="preserve">Корекция EURI (B): </w:t>
      </w:r>
      <w:r>
        <w:t>70,00</w:t>
      </w:r>
    </w:p>
    <w:p>
      <w:r>
        <w:t xml:space="preserve">Целева абсолютна стойност (A—Б—В): </w:t>
      </w:r>
      <w:r>
        <w:t>600,00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2025 г. (а): </w:t>
      </w:r>
      <w:r>
        <w:t>905 908 355,90</w:t>
      </w:r>
    </w:p>
    <w:p>
      <w:r>
        <w:t xml:space="preserve">Корекции за допълнителни плащания (б): </w:t>
      </w:r>
    </w:p>
    <w:p>
      <w:r>
        <w:t xml:space="preserve">Корекция EURI (B): </w:t>
      </w:r>
      <w:r>
        <w:t>0,00</w:t>
      </w:r>
    </w:p>
    <w:p>
      <w:r>
        <w:t xml:space="preserve">Целева абсолютна стойност (A—Б—В): </w:t>
      </w:r>
      <w:r>
        <w:t>905 908 355,90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2025 г. (а): </w:t>
      </w:r>
      <w:r>
        <w:t>879,00</w:t>
      </w:r>
    </w:p>
    <w:p>
      <w:r>
        <w:t xml:space="preserve">Корекции за допълнителни плащания (б): </w:t>
      </w:r>
    </w:p>
    <w:p>
      <w:r>
        <w:t xml:space="preserve">Корекция EURI (B): </w:t>
      </w:r>
      <w:r>
        <w:t>0,00</w:t>
      </w:r>
    </w:p>
    <w:p>
      <w:r>
        <w:t xml:space="preserve">Целева абсолютна стойност (A—Б—В): </w:t>
      </w:r>
      <w:r>
        <w:t>879,00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2025 г. (а): </w:t>
      </w:r>
      <w:r>
        <w:t>1 370 000,00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2025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Корекция EURI (B)</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330,00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2025 г. (а): </w:t>
      </w:r>
      <w:r>
        <w:t>330,00</w:t>
      </w:r>
    </w:p>
    <w:p>
      <w:r>
        <w:t xml:space="preserve">Корекции за допълнителни плащания (б): </w:t>
      </w:r>
    </w:p>
    <w:p>
      <w:r>
        <w:t xml:space="preserve">Корекция EURI (B): </w:t>
      </w:r>
    </w:p>
    <w:p>
      <w:r>
        <w:t xml:space="preserve">Целева абсолютна стойност (A—Б—В): </w:t>
      </w:r>
      <w:r>
        <w:t>330,00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28"/>
        <w:gridCol w:w="71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проектни предложения по инвестиционните мерки от Програмата, за които е приложимо, е допустимо провеждане на процедура за избор на изпълнител в съответствие с приложимото национално законодателство (ПМС №160) след подаване на проектното предложение и преди сключване на административeн договор.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1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33"/>
              <w:gridCol w:w="1860"/>
              <w:gridCol w:w="1896"/>
              <w:gridCol w:w="1962"/>
            </w:tblGrid>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4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0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00" w:type="dxa"/>
                  <w:noWrap w:val="0"/>
                  <w:tcMar>
                    <w:top w:w="20" w:type="dxa"/>
                    <w:left w:w="20" w:type="dxa"/>
                    <w:bottom w:w="20" w:type="dxa"/>
                    <w:right w:w="20" w:type="dxa"/>
                  </w:tcMar>
                  <w:vAlign w:val="bottom"/>
                  <w:hideMark/>
                </w:tcPr>
                <w:p>
                  <w:pPr>
                    <w:numPr>
                      <w:ilvl w:val="0"/>
                      <w:numId w:val="120"/>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0"/>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00" w:type="dxa"/>
                  <w:noWrap w:val="0"/>
                  <w:tcMar>
                    <w:top w:w="20" w:type="dxa"/>
                    <w:left w:w="20" w:type="dxa"/>
                    <w:bottom w:w="20" w:type="dxa"/>
                    <w:right w:w="20" w:type="dxa"/>
                  </w:tcMar>
                  <w:vAlign w:val="top"/>
                  <w:hideMark/>
                </w:tcPr>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1"/>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2"/>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2"/>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0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4"/>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4"/>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6"/>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2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8"/>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2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2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0"/>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предоставяне на пакет А2Б на кандидатите по подмярка 6.1.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2"/>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4"/>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 и прилагане на единна ставка, определена чрез прилагане на процент към една или няколко определени категории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 или единна ставка за оперативни разходи, свързани с функционирането на мобилните центрове;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въз основа на които се предоставят консултантски услуги по мярката и се определя икономическия размер на земеделските стопанства, са в съответствие с актуалните данни по отношение на стандартната продукция (стандартен производствен обем)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5"/>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numPr>
                <w:ilvl w:val="0"/>
                <w:numId w:val="13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андидатите за подпомагане подали проектно предложение след 01.01.2021 г. следва да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 с изключение на кандидати групи или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 За кандидати групи или организации на производители условието по т. 2 не се прилага индивидуално за членовете, а се счита за изпълнено, ако общият стандартен производствен обем, формиран като сбор от стандартните производствени обеми на земеделските стопанства на членовете на групата или организацията, отнесен към броя на земеделските стопани, членове на групата или организацията, е не по-малко от левовата равностойност на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w:t>
            </w:r>
            <w:r>
              <w:rPr>
                <w:rFonts w:ascii="Times New Roman" w:eastAsia="Times New Roman" w:hAnsi="Times New Roman" w:cs="Times New Roman"/>
                <w:szCs w:val="24"/>
                <w:u w:val="single"/>
              </w:rPr>
              <w:t> включително инвестиции и дейности, които допринасят за устойчивото и цифрово икономическо възстановяване. </w:t>
            </w:r>
            <w:r>
              <w:rPr>
                <w:rFonts w:ascii="Times New Roman" w:eastAsia="Times New Roman" w:hAnsi="Times New Roman" w:cs="Times New Roman"/>
                <w:szCs w:val="24"/>
              </w:rPr>
              <w:t>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стопанството технологии, като -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 включително подходи приложени чрез Европейското партньорство за иновации (например: инвестиции за ефективно използване на ресурсите, включително прецизно и интелигентно земеделие, иновации и цифровизация и модернизация на производствените машини и оборудване).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1 000 000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50 %.</w:t>
            </w:r>
          </w:p>
          <w:p>
            <w:pPr>
              <w:numPr>
                <w:ilvl w:val="0"/>
                <w:numId w:val="1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1 000 001 евро до 1 500 000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35 %.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1 500 000 евро, като максималният размер на допустимите разходи за един проект не може да надхвърля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инвестиции в земеделска техника за един кандидат за периоди на прием проведени след 01.01.2021 г. е в рамките на 250 000 евро. Разходите за земеделска техника не се считат за инвестиции в обхвата на дейностите по Next Generation във връзка с предоставянето на по-висок интензитет на финансова помощ</w:t>
            </w:r>
            <w:r>
              <w:rPr>
                <w:rFonts w:ascii="Times New Roman" w:eastAsia="Times New Roman" w:hAnsi="Times New Roman" w:cs="Times New Roman"/>
                <w:szCs w:val="24"/>
                <w:u w:val="single"/>
              </w:rPr>
              <w:t>.</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5"/>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8"/>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за подпомагане, подали проектно предложение след 01.01.2021 г. следва да са извършвали дейности по преработка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а кандидати земеделски стопани, подали проектно предложение след 01.01.2021 г. условието се счита за изпълнено, ако същите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 групи или организации на производители подали проектно предложение след 01.01.2021 г. условието се счита за изпълнено ако същите са извършвали дейност от най-малко 36 месеца към датата на подаване на проектното предложение;</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w:t>
            </w:r>
            <w:r>
              <w:rPr>
                <w:rFonts w:ascii="Times New Roman" w:eastAsia="Times New Roman" w:hAnsi="Times New Roman" w:cs="Times New Roman"/>
                <w:szCs w:val="24"/>
                <w:u w:val="single"/>
              </w:rPr>
              <w:t>включително инвестиции и дейности, които допринасят за устойчивото и цифрово икономическо възстановяване.</w:t>
            </w:r>
            <w:r>
              <w:rPr>
                <w:rFonts w:ascii="Times New Roman" w:eastAsia="Times New Roman" w:hAnsi="Times New Roman" w:cs="Times New Roman"/>
                <w:szCs w:val="24"/>
              </w:rPr>
              <w:t>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предприятието технологии, като - иновативни технологии, автоматизиране на производствените и оргонизационни процеси, включително подходи приложени чрез Европейското партньорство за иновации.</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2 000 000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50 %.</w:t>
            </w:r>
          </w:p>
          <w:p>
            <w:pPr>
              <w:numPr>
                <w:ilvl w:val="0"/>
                <w:numId w:val="1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2 000 001 евро до 3 000 000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35 %.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3 000 000 евро, като максималният размер на допустимите разходи за един проект не може да надхвърля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3"/>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8"/>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70"/>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70"/>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7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7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42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73"/>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73"/>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7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8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8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8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83"/>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420"/>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8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8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8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8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1 500 000 евро за кандидати с животновъдни стопанства, отглеждащи свине;</w:t>
            </w:r>
          </w:p>
          <w:p>
            <w:pPr>
              <w:numPr>
                <w:ilvl w:val="0"/>
                <w:numId w:val="1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1 000 000 евро за кандидати с животновъдни стопанства, отглеждащи птици;</w:t>
            </w:r>
          </w:p>
          <w:p>
            <w:pPr>
              <w:numPr>
                <w:ilvl w:val="0"/>
                <w:numId w:val="1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птици, максимална стойност на допустимите разходите за един животновъден обект е в размер до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94"/>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9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1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00"/>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0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11"/>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трябва да са получили минимум 33 % от общия доход за преходната година от земеделски дейности, като това изискване не се прилага за проектни предложения, подадени след 01.01.2021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емеделското стопанство е разположено на територията на необлагодетелствани райони с природни и други ограничения, съгласно наредбата за определяне на критериите за необлагодетелстваните райони и териториалния им обхват (приета с ПМС №30 ОТ 15.02.2008 г.; ДВ, бр. 20 от 2008 г.) и/или места по Натура 2000;</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numPr>
                <w:ilvl w:val="0"/>
                <w:numId w:val="2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1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1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19"/>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2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7"/>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3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36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във връзка с чл. 2, параграфи 1 и 2 от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 Определеният таван от 10 000 000 евро не се прилага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постигане на допълняемост и координация с всички оперативни програми участващи в подхода ИТИ, по ПРСР ще се подпомагат проекти, представляващи част от концепция за ИТИ, на територията на общини, в които няма населено място с население над 15 000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Новата национална дефиниция определя като „селски райони” общините, в които няма населено място с население над 15 000 души, в която попадат 215 от всички 265 общини на територията на страната. Всички дейности за малка по мащаби инфраструктура през периода на удължаване на срока на програмата ще са допустими единствено на територията на селските райони, определени по новата национална дефиниция.</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37"/>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могат да се изпълняват и чрез прилагането на инструмент „Интегрирани териториални инвестиции“ (ИТИ), след вземане на национално решение и в съответствие с чл. 36 от Регламент (ЕС) № 1303/2013 във връзка с чл. 2, параграфи 1 и 2 от Регламент (ЕС) 2020/2220. Мерките, които ще бъдат подкрепени през инструмента ИТИ, следва да бъдат в съответствие с предварително идентифицираните цели и приоритети за развитие в съответните интегрирани териториални стратегии за развитие на регионите за планиране от ниво 2 (подход „отдолу-нагоре“), както и с картирането на нуждите от инвестиции в съответните сектори, изготвено на национално ниво от отговорните за политиката ведомства (подход „отгоре-надолу“). В рамките на изпълнението на интегрирания териториален подход ще бъде подкрепено изпълнението на концепции за ИТИ, представляващи набор от взаимосвързани и допълващи се (интегрирани) проектни идеи, насочени към територии с общи характеристики и/или потенциал за развитие и включващи най-подходящата комбинация от ресурси и мерки, които да бъдат използвани за постигане на конкретна цел или приоритет на местно ниво. Концепциите за ИТИ следва да бъдат изпълнявани от партньорства, включващи широк кръг заинтересовани страни и участници в социално-икономическия живот на конкретната територия. Източниците за финансиране на отделните проекти, включени в концепциите за ИТИ, са разнообразни и включват програми, съфинансирани от ЕФРР, ЕСФ+, КФ, СПРЗСР, финансови инструменти, държавен и общински бюджет, собствени средства и др., като изпълнение на отделните проекти следва да бъде осъществявано по координиран начин.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Общини в селските райони за проекти представляващи част от концепция за ИТИ.</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 Изискването не се прилага за проекти представляващи част от концепция за ИТИ.Изискването не се прилага и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допустими са само проекти, които са част от концепция за ИТИ, включена в окончателния списък с одобрени концепции от Регионалните съвети за развитие (РСР).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пътища;</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насочени към производство на енергия за собствено потребление от възобновяеми енергийни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изискването на чл. 49, параграф 1 от Регламент (ЕС) № 1303/2013 за подбор на операции, ще се прилага чрез подбор на концепции за ИТИ от Регионалните съвети за развитие.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1"/>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5"/>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62"/>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65"/>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65"/>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72"/>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83"/>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8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9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95"/>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2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1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 като поетите ангажименти през 2021 г. се изпълняват за срок от една година. От 2022 година ангажименти,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2022г. са с продължителност 3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площи от ангажимента на земеделски стопанин бъдат изключени от обхвата на мярката, поради влезли в сила заповеди за обявяване на зони по Натура 2000,  ангажимента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стопанин може да продължи да изпълнява дейности по направлението само с площи от ангажимента, които не са изключени от обхвата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паша - 126,80 Евро/ха. За заявените за подпомагане площи през  2021 г. и след нея.  - 134,09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-113,51 евро /ха. За заявените за подпомагане площи през 2021 г. и след нея  – 125,78 Евро/ха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2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3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за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2022 година новите ангажименти и тези,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поетият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Превръщане на обработваеми земеделски земи в постоянно затревени площи, чрез използване на многогодишни тревни смески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мероприятия в лозя и трайни насаждения -</w:t>
            </w:r>
          </w:p>
          <w:p>
            <w:pPr>
              <w:numPr>
                <w:ilvl w:val="0"/>
                <w:numId w:val="336"/>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 - поддържане на нисък тревостой на междуредовото затревяване и вътрешноредово окопаване на насажденията;</w:t>
            </w:r>
          </w:p>
          <w:p>
            <w:pPr>
              <w:numPr>
                <w:ilvl w:val="0"/>
                <w:numId w:val="336"/>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 - дължината на браздите е 5-10 м, като се прекъсват през 5 м. Разполагат се перпендикулярно на наклона и шахматно по склона в редовете. Браздите се прокопават три пъти годишно.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мероприятие в обработваеми земи:</w:t>
            </w:r>
          </w:p>
          <w:p>
            <w:pPr>
              <w:numPr>
                <w:ilvl w:val="0"/>
                <w:numId w:val="337"/>
              </w:numPr>
              <w:spacing w:before="24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с медоносна тревна растителност – ширината на ивиците е от поне  4м. Прокарват се  напречно на склона в зависимост от наклона на терена, почвения тип и други фактори. В зависимост от разстоянието между тях и ширината им те заемат поне 15 % от обработваемата площ на парцел.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окопни със слята повърхност култури перпендикулярно на склона - поясите, широки 30-100 м, с редуващи се окопни и слятопокровни култури, се  разполагат перпендикулярно (напречно) на склона (по контура).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предоставят план за противоерозионни дейности, изготвен от дипломиран агроном и документ при закупуване на тревните смески и семена на медоносни растения.</w:t>
            </w:r>
          </w:p>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 За заявените за подпомагане площи през  2021 г. и след нея -157,48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 За заявените за подпомагане площи през  2021 г. и след нея – 128,85 евро/ха;</w:t>
            </w:r>
          </w:p>
          <w:p>
            <w:pPr>
              <w:numPr>
                <w:ilvl w:val="0"/>
                <w:numId w:val="3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 За заявените за подпомагане площи през  2021 г. и след нея създаване и поддържане на буферни ивици с медоносна тревна растителност - 63,82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за поясно редуване на културите – 38,2 евро/ха. За заявените за подпомагане площи през  2021 г. – 91,88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42"/>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w:t>
            </w:r>
            <w:r>
              <w:rPr>
                <w:rFonts w:ascii="Times New Roman" w:eastAsia="Times New Roman" w:hAnsi="Times New Roman" w:cs="Times New Roman"/>
                <w:szCs w:val="24"/>
                <w:u w:val="single"/>
              </w:rPr>
              <w:t xml:space="preserve"> </w:t>
            </w:r>
            <w:r>
              <w:rPr>
                <w:rFonts w:ascii="Times New Roman" w:eastAsia="Times New Roman" w:hAnsi="Times New Roman" w:cs="Times New Roman"/>
                <w:szCs w:val="24"/>
              </w:rPr>
              <w:t>не по-късно от 2022г.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Ангажиментите от 2022 година са с продължителност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едни и същи земеделски парцели по направлението и по мярка 12 „Плащания по Натура 2000 и Рамковата директива за водите“ от Програмата за развитие на селските райони за периода 2014 - 2020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 като земеделските стопани не извеждат по–голям брой животни от определените в разрешителните за паша.</w:t>
            </w:r>
          </w:p>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и природните паркове.</w:t>
            </w:r>
          </w:p>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Животните се придружавани от пастир (гледач), ако не се придружават от земеделския стопанин.</w:t>
            </w:r>
          </w:p>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придружаващите стадото кучета се поставя спъвачка.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замърсяване на водите и терените с битови, промишлени и други отпадъци;  бивакуване и палене на огън извън определените места; намеса в биологичното разнообразие.( Чл. 21 от Закона за защитените територии, т. 4, 6, 9, 12, 13, 14).</w:t>
            </w:r>
          </w:p>
          <w:p>
            <w:pPr>
              <w:numPr>
                <w:ilvl w:val="0"/>
                <w:numId w:val="3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резерватите се забраняват всякакви дейности, с изключение на посочените в чл. 17 от Закона за защитените територии.</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природните паркове се спазват забраните предвидени в чл. 31 от Закона за защитените територии, както и забраните предвидени в чл. 21, ал. 1, когато са приети с плановете за управление.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2"/>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ежегодно удължаване на срока не по-късно от 2022 г. Поети ангажименти през 2021 се изпълняват за срок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 не по-късно от 2022 г. Ангажиментите на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6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три пъти годишно. Затревяване на междуредовото пространство на трайни насаждения. Тарифната ставка включва разходите за механизирани обработка по косене и почистване на междуредовите пространства, както и повишените трудови разходи.За създаване и поддържане на буферни ивици. Тук се отчита избягването на двойно финансиране на 5% ЕНП, задължителна по зелените плащания, а компонентите на ставката включват пропуснатите ползи от превръщането на част от обработваемата площ в затревени буферни ивици, както и допълнителните разходи за затревяването на буферните ивици с медоносна растителност, приспадайки възможните допълнителни приходи от затревената площ. Получената стойност от двата компонентна е умножена с дела на затревената буферна площ, за да се разпредели плащането върху целия парцел.</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на базата пропуснати ползи заради разликата в брутните маржини между окопните култури и културите на слята повърхност. Взета са предвид и увеличените разходи от прилагането на такава дейност, които представляват 7% от променливите разходи за окопни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82"/>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2021 г., когато периода на преход към биологично производство е стартирал преди края на 2020 г. и не е по-дълъг от продължителността на ангажимента.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до 3 г. включително в съответствие с приетото законодателство за периода 2021-2022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2022 г., когато периода на преход към биологично производство е стартирал преди края на 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по подмярката може да се предоставя за срок не по-дълъг от минималните периоди на преход към биологично производство.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3"/>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след 01.01.2022г на Регламент(ЕС) 2018/848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а след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ангажимента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ангажимента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 направление „Биологично растениевъдство“, заявени за подпомагане през 2021 и следващи кампании, може да се получава плащане, в случай, че е спазено изискването за отглеждане на биологични животни, заявени по направление „Биологично животновъдство“ при спазване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 а след 01.01.2022 г. съгласно т.1.7.1 от част I на Приложение II част от  Регламент(ЕС) 2018/848.</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на земеделски стопанин, включени в слой „Биологични площи“, не могат да бъдат подпомагани за дейности за преход към биологично производство, както и сертифицираните животни и пчелини с пчелни семейства.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8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3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9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02"/>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 По тази подмярка ще се подпомагат на територията на цялата страна: биологични стопанства, съгласно дефинициите на Регламент (ЕО) № 834/2007, а след 01.01.2022 на Регламент(ЕС) 2018/848,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могат да се поемат нови ангажименти с продължителност до 2 г. за кандидати изпълняващи ангажименти по ПРСР 2014-2020 или продължаващите ангажиментите да бъдат ежегодно удължавани до края на 2022. Ангажиментите за нови кандидати може да са с продължителност от 1 до 3 г в съответствие с приетото законодателство за периода 2021-2022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1 г. в съответствие с приетото законодателство за периода 2021-2022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и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от 01.01.2022 г. на Регламент(ЕС) 2018/848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а от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 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Удължените след 2020 г. ангажименти се изпълняват на одобрената за подкрепа площ за извършване на дейности по направление „Биологично растениевъдство“, която може да варира с процент по-голям от 10 % като ангажимента продължава да се изпълнява с площите, за които земеделските стопани имат регистрирано правно основание за ползване за съответната година.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с които се поема нов ангажимент по подмярката трябва да  са вписани в регистъра по чл. 16а, ал. 1, т. 1 от Закона за прилагане на Общата организация на пазарите на земеделски продукти на Европейския съюз;</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4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Одобрената за подкрепа площ на удължените след 2020 г. ангажименти може да варира с процент по-голям от 10 %, като ангажимента продължава да се изпълнява с площите, за които земеделските стопани имат правно основание за ползване за съответната година.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 площи за оставащия период.</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без да поемат нов ангажимент не по-късно от 2022 година.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за използване на продукти за растителна защита в горското и селското и/или забрана употреба на минерални торове, както и на продукти за растителна защита и биоциди.</w:t>
            </w:r>
          </w:p>
          <w:p>
            <w:pPr>
              <w:numPr>
                <w:ilvl w:val="0"/>
                <w:numId w:val="4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Данни използвани от ДФЗ-РА при прилагане на мярката - Електронен регистър по чл. 45 от Наредба 5 от 2018 г.  и слой „Биологични площи“</w:t>
            </w:r>
          </w:p>
          <w:p>
            <w:pPr>
              <w:numPr>
                <w:ilvl w:val="0"/>
                <w:numId w:val="4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въз основа на данните в регистъра по чл. 45, предоставя на ДФЗ-РА информация за включените в система на контрол площи, животни и пчелни семейства към края на предходната година.</w:t>
            </w:r>
          </w:p>
          <w:p>
            <w:pPr>
              <w:numPr>
                <w:ilvl w:val="0"/>
                <w:numId w:val="4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ДФЗ-РА може да извършва проверки и въз основа на този регистър.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предоставя на ДФЗ-РА цифрови географски данни за площите преминали периода на преход и за които е издаден сертификат от Контролиращото лице (слой „Биологични площи“).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34"/>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6"/>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7"/>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7"/>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Приложение №13А и Приложение 13Б.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3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 Директива 92/43/ЕИО за опазване на природните местообитания и на дивата флора и фауна.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16. Употреба на изкуствени торове и химически средства за растителна защита.</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3"/>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3"/>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3"/>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3"/>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4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16. Употреба на изкуствени торове и химически средства за растителна защита.</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 незасегнати от природни и почвени ограничения, считани в методиката, като незасегнати от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използване на продукти за растителна защита в горското и селското и/или забрана за употреба на минерални торове, както и на продукти за растителна защита и биоциди.           </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площи, попадащи едновременно в обхвата на защитени зони по Директивата за птиците 2009/147/ЕО и Директива 92/43/ЕИО за опазване на природните местообитания и на дивата флора и фауна спазват всички забрани/режими/ограничения в заповедите и плановете за управление на съответните зони, но могат да получат компенсаторно плащане само за забраните и ограниченията за селскостопанска дейност в една зона.</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0"/>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1"/>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7, параграф 4 от РЕГЛАМЕНТ (ЕС) 2020/2220 на Европейския парламент и на Съвета, с който е изменен чл. 31, параграф 5 от Регламент 1305/2013, за бенефициерите от райони, които вече не отговарят на условията за подпомагане след новото райониране, преходната помощ за кампания 2021 и 2022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 След 2020 г. евро/ЖЕ - 39,72 евро;</w:t>
            </w:r>
          </w:p>
          <w:p>
            <w:pPr>
              <w:numPr>
                <w:ilvl w:val="0"/>
                <w:numId w:val="4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 След 2020 г. евро/ЖЕ - 66,21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 След 2020 г. евро/ЖЕ - 24,70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 След 2020 г. евро/ЖЕ – 28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 След 2020 г. евро/ЖЕ – 47,86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Извършено е преизчисление на премиите с референтен период 2017-2019 г., при което констатираните промени в пазарната и производствена среда в този период са съотнесени към периода 2011-2013 г.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68"/>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Център за оценка на риска по хранителната верига,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77"/>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територията на цялата страна (включително селските райони и териториите със специфични характеристики, определени в Националната концепция за пространствено развитие за периода 2013 – 2025 г.) с изключение на градовете с население над 30 000 жители, в техните строителни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ЛИДЕР).За населените места, на чиито територии се прилага подхода ВОМР/ЛИДЕР и които са подпомагани от „Програма за развитие на регионите“ 2021 – 2027 г., се прилага демаркация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87"/>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и през периода 2021 – 2027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и 2014 – 2020 г. (не са изпълнявали подмерки 431-2, 431-1, 41, 19.1, 19.2 и 19.4)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подмерки 431-2, 431-1, 41, 19.1, 19.2 и 19.4) и до 9 месеца за местни общности, не прилагали подхода ЛИДЕР през програмни периоди 2007 – 2013 г. и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12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2021 – 2022 г. по подмярката се публикува най-малко една покана за изразяване на интерес за подкрепа за подготвителни дейности за изготвяне на стратегии за ВОМР за периода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периоди 2007-2013 г. и 2014 – 2020 г. (не са изпълнявали подмерки 431-2, 431-1, 41, 19.1, 19.2 и 19.4 на  територията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 периоди 2007-2013 г. и 2014 – 2020 г. на територия или част от територия, за която се кандидатства, (изпълнявали са подмерки 431-2, 431-1, 41, 19.1, 19.2 и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г. и ПРСР 2014 – 2020 г.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 периоди 2007-2013 г. и 2014 – 2020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9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 периоди 2007-2013 г. и 2014 – 2020 г.;</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през периодите 2007-2013 г. и 2014 – 2020 г.</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4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95"/>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4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1 500 000 евро (общо за стратегията вкл. с текущите разходи и разходи за популяризиране 2 000 000 евро), а за групи с по-голямо население – до левовата равностойност на 2 100 000 евро (общо за стратегията вкл. с текущите разходи и разходи за популяризиране 2 800 000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99"/>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5"/>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3"/>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за прием през 2021 г. са земеделски стопани, които са кандидатствали за подпомагане по схемите за директни плащания през Кампания 2020 и:</w:t>
            </w:r>
          </w:p>
          <w:p>
            <w:pPr>
              <w:numPr>
                <w:ilvl w:val="0"/>
                <w:numId w:val="5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получили подпомагане в рамките на предходния прием по мярката през 2020 г., или</w:t>
            </w:r>
          </w:p>
          <w:p>
            <w:pPr>
              <w:numPr>
                <w:ilvl w:val="0"/>
                <w:numId w:val="5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подавали заявление за подпомагане в рамките на предходния прием по мярката през 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8.2.16.7.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кандидати през 2021 г.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установените допустими за подпомагане площи със съответната земеделска култура от списъка в т. 8.2.16.7. за кампания 2020 и/или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установените допустими за подпомагане животни от съответния вид за кампания 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31 декември 2021 г. въз основа на заявленията за подпомагане, които следва да бъдат одобрени до 30 юни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 Един кандидат може да получи финансовата помощ еднократно.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5"/>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6"/>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изплатенодо 31 декември 2021 г. въз основа на заявленията за подпомагане, които следва да бъдат одобрени до 30 юни 2021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1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1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1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2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838"/>
              <w:gridCol w:w="5793"/>
              <w:gridCol w:w="1789"/>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4" w:name="_Toc256000134"/>
      <w:r>
        <w:t>План за оценка</w:t>
      </w:r>
      <w:bookmarkEnd w:id="134"/>
    </w:p>
    <w:p>
      <w:pPr>
        <w:pStyle w:val="Heading2"/>
      </w:pPr>
      <w:bookmarkStart w:id="135" w:name="_Toc256000135"/>
      <w:r>
        <w:t>Цели и задачи</w:t>
      </w:r>
      <w:bookmarkEnd w:id="135"/>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6" w:name="_Toc256000136"/>
      <w:r>
        <w:t>Управление и координация</w:t>
      </w:r>
      <w:bookmarkEnd w:id="136"/>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7" w:name="_Toc256000137"/>
      <w:r>
        <w:t>Предмет на оценката и дейности</w:t>
      </w:r>
      <w:bookmarkEnd w:id="137"/>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8" w:name="_Toc256000138"/>
      <w:r>
        <w:t>Данни и информация</w:t>
      </w:r>
      <w:bookmarkEnd w:id="138"/>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9" w:name="_Toc256000139"/>
      <w:r>
        <w:t>График</w:t>
      </w:r>
      <w:bookmarkEnd w:id="139"/>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0" w:name="_Toc256000140"/>
      <w:r>
        <w:t>Комуникация</w:t>
      </w:r>
      <w:bookmarkEnd w:id="140"/>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Ресурси</w:t>
      </w:r>
      <w:bookmarkEnd w:id="141"/>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2" w:name="_Toc256000142"/>
      <w:r>
        <w:t>Финансов план</w:t>
      </w:r>
      <w:bookmarkEnd w:id="142"/>
    </w:p>
    <w:p>
      <w:pPr>
        <w:pStyle w:val="Heading2"/>
      </w:pPr>
      <w:r>
        <w:t xml:space="preserve"> </w:t>
      </w:r>
      <w:bookmarkStart w:id="143" w:name="_Toc256000143"/>
      <w:r>
        <w:t>Годишно участие на ЕЗФРСР в (в евро)</w:t>
      </w:r>
      <w:bookmarkEnd w:id="1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200"/>
        <w:gridCol w:w="200"/>
        <w:gridCol w:w="200"/>
        <w:gridCol w:w="200"/>
        <w:gridCol w:w="200"/>
        <w:gridCol w:w="200"/>
        <w:gridCol w:w="200"/>
        <w:gridCol w:w="200"/>
        <w:gridCol w:w="200"/>
        <w:gridCol w:w="200"/>
        <w:gridCol w:w="2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200" w:type="dxa"/>
            <w:shd w:val="clear" w:color="auto" w:fill="C0C0C0"/>
            <w:noWrap w:val="0"/>
            <w:tcMar>
              <w:top w:w="60" w:type="dxa"/>
            </w:tcMar>
            <w:vAlign w:val="top"/>
          </w:tcPr>
          <w:p>
            <w:pPr>
              <w:jc w:val="center"/>
              <w:rPr>
                <w:b/>
                <w:i w:val="0"/>
              </w:rPr>
            </w:pPr>
            <w:r>
              <w:rPr>
                <w:b/>
                <w:i w:val="0"/>
              </w:rPr>
              <w:t>Видове региони и допълнително разпределени средства</w:t>
            </w:r>
          </w:p>
        </w:tc>
        <w:tc>
          <w:tcPr>
            <w:tcW w:w="200" w:type="dxa"/>
            <w:shd w:val="clear" w:color="auto" w:fill="C0C0C0"/>
            <w:noWrap w:val="0"/>
            <w:tcMar>
              <w:top w:w="60" w:type="dxa"/>
            </w:tcMar>
            <w:vAlign w:val="top"/>
          </w:tcPr>
          <w:p>
            <w:pPr>
              <w:jc w:val="center"/>
              <w:rPr>
                <w:b/>
                <w:i w:val="0"/>
              </w:rPr>
            </w:pPr>
            <w:r>
              <w:rPr>
                <w:b/>
                <w:i w:val="0"/>
              </w:rPr>
              <w:t>2014</w:t>
            </w:r>
          </w:p>
        </w:tc>
        <w:tc>
          <w:tcPr>
            <w:tcW w:w="200" w:type="dxa"/>
            <w:shd w:val="clear" w:color="auto" w:fill="C0C0C0"/>
            <w:noWrap w:val="0"/>
            <w:tcMar>
              <w:top w:w="60" w:type="dxa"/>
            </w:tcMar>
            <w:vAlign w:val="top"/>
          </w:tcPr>
          <w:p>
            <w:pPr>
              <w:jc w:val="center"/>
              <w:rPr>
                <w:b/>
                <w:i w:val="0"/>
              </w:rPr>
            </w:pPr>
            <w:r>
              <w:rPr>
                <w:b/>
                <w:i w:val="0"/>
              </w:rPr>
              <w:t>2015</w:t>
            </w:r>
          </w:p>
        </w:tc>
        <w:tc>
          <w:tcPr>
            <w:tcW w:w="200" w:type="dxa"/>
            <w:shd w:val="clear" w:color="auto" w:fill="C0C0C0"/>
            <w:noWrap w:val="0"/>
            <w:tcMar>
              <w:top w:w="60" w:type="dxa"/>
            </w:tcMar>
            <w:vAlign w:val="top"/>
          </w:tcPr>
          <w:p>
            <w:pPr>
              <w:jc w:val="center"/>
              <w:rPr>
                <w:b/>
                <w:i w:val="0"/>
              </w:rPr>
            </w:pPr>
            <w:r>
              <w:rPr>
                <w:b/>
                <w:i w:val="0"/>
              </w:rPr>
              <w:t>2016</w:t>
            </w:r>
          </w:p>
        </w:tc>
        <w:tc>
          <w:tcPr>
            <w:tcW w:w="200" w:type="dxa"/>
            <w:shd w:val="clear" w:color="auto" w:fill="C0C0C0"/>
            <w:noWrap w:val="0"/>
            <w:tcMar>
              <w:top w:w="60" w:type="dxa"/>
            </w:tcMar>
            <w:vAlign w:val="top"/>
          </w:tcPr>
          <w:p>
            <w:pPr>
              <w:jc w:val="center"/>
              <w:rPr>
                <w:b/>
                <w:i w:val="0"/>
              </w:rPr>
            </w:pPr>
            <w:r>
              <w:rPr>
                <w:b/>
                <w:i w:val="0"/>
              </w:rPr>
              <w:t>2017</w:t>
            </w:r>
          </w:p>
        </w:tc>
        <w:tc>
          <w:tcPr>
            <w:tcW w:w="200" w:type="dxa"/>
            <w:shd w:val="clear" w:color="auto" w:fill="C0C0C0"/>
            <w:noWrap w:val="0"/>
            <w:tcMar>
              <w:top w:w="60" w:type="dxa"/>
            </w:tcMar>
            <w:vAlign w:val="top"/>
          </w:tcPr>
          <w:p>
            <w:pPr>
              <w:jc w:val="center"/>
              <w:rPr>
                <w:b/>
                <w:i w:val="0"/>
              </w:rPr>
            </w:pPr>
            <w:r>
              <w:rPr>
                <w:b/>
                <w:i w:val="0"/>
              </w:rPr>
              <w:t>2018</w:t>
            </w:r>
          </w:p>
        </w:tc>
        <w:tc>
          <w:tcPr>
            <w:tcW w:w="200" w:type="dxa"/>
            <w:shd w:val="clear" w:color="auto" w:fill="C0C0C0"/>
            <w:noWrap w:val="0"/>
            <w:tcMar>
              <w:top w:w="60" w:type="dxa"/>
            </w:tcMar>
            <w:vAlign w:val="top"/>
          </w:tcPr>
          <w:p>
            <w:pPr>
              <w:jc w:val="center"/>
              <w:rPr>
                <w:b/>
                <w:i w:val="0"/>
              </w:rPr>
            </w:pPr>
            <w:r>
              <w:rPr>
                <w:b/>
                <w:i w:val="0"/>
              </w:rPr>
              <w:t>2019</w:t>
            </w:r>
          </w:p>
        </w:tc>
        <w:tc>
          <w:tcPr>
            <w:tcW w:w="200" w:type="dxa"/>
            <w:shd w:val="clear" w:color="auto" w:fill="C0C0C0"/>
            <w:noWrap w:val="0"/>
            <w:tcMar>
              <w:top w:w="60" w:type="dxa"/>
            </w:tcMar>
            <w:vAlign w:val="top"/>
          </w:tcPr>
          <w:p>
            <w:pPr>
              <w:jc w:val="center"/>
              <w:rPr>
                <w:b/>
                <w:i w:val="0"/>
              </w:rPr>
            </w:pPr>
            <w:r>
              <w:rPr>
                <w:b/>
                <w:i w:val="0"/>
              </w:rPr>
              <w:t>2020</w:t>
            </w:r>
          </w:p>
        </w:tc>
        <w:tc>
          <w:tcPr>
            <w:tcW w:w="200" w:type="dxa"/>
            <w:shd w:val="clear" w:color="auto" w:fill="C0C0C0"/>
            <w:noWrap w:val="0"/>
            <w:tcMar>
              <w:top w:w="60" w:type="dxa"/>
            </w:tcMar>
            <w:vAlign w:val="top"/>
          </w:tcPr>
          <w:p>
            <w:pPr>
              <w:jc w:val="center"/>
              <w:rPr>
                <w:b/>
                <w:i w:val="0"/>
              </w:rPr>
            </w:pPr>
            <w:r>
              <w:rPr>
                <w:b/>
                <w:i w:val="0"/>
              </w:rPr>
              <w:t>2021</w:t>
            </w:r>
          </w:p>
        </w:tc>
        <w:tc>
          <w:tcPr>
            <w:tcW w:w="200" w:type="dxa"/>
            <w:shd w:val="clear" w:color="auto" w:fill="C0C0C0"/>
            <w:noWrap w:val="0"/>
            <w:tcMar>
              <w:top w:w="60" w:type="dxa"/>
            </w:tcMar>
            <w:vAlign w:val="top"/>
          </w:tcPr>
          <w:p>
            <w:pPr>
              <w:jc w:val="center"/>
              <w:rPr>
                <w:b/>
                <w:i w:val="0"/>
              </w:rPr>
            </w:pPr>
            <w:r>
              <w:rPr>
                <w:b/>
                <w:i w:val="0"/>
              </w:rPr>
              <w:t>2022</w:t>
            </w:r>
          </w:p>
        </w:tc>
        <w:tc>
          <w:tcPr>
            <w:tcW w:w="200" w:type="dxa"/>
            <w:shd w:val="clear" w:color="auto" w:fill="C0C0C0"/>
            <w:noWrap w:val="0"/>
            <w:tcMar>
              <w:top w:w="60" w:type="dxa"/>
            </w:tcMar>
            <w:vAlign w:val="top"/>
          </w:tcPr>
          <w:p>
            <w:pPr>
              <w:jc w:val="center"/>
              <w:rPr>
                <w:b w:val="0"/>
                <w:i w:val="0"/>
              </w:rPr>
            </w:pPr>
            <w:r>
              <w:rPr>
                <w:b/>
                <w:i w:val="0"/>
              </w:rPr>
              <w:t>Total</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502 807 341,00</w:t>
            </w:r>
          </w:p>
        </w:tc>
        <w:tc>
          <w:tcPr>
            <w:tcW w:w="200" w:type="dxa"/>
            <w:shd w:val="clear" w:color="auto" w:fill="FFFFFF"/>
            <w:noWrap w:val="0"/>
            <w:tcMar>
              <w:top w:w="60" w:type="dxa"/>
            </w:tcMar>
            <w:vAlign w:val="top"/>
          </w:tcPr>
          <w:p>
            <w:pPr>
              <w:jc w:val="right"/>
              <w:rPr>
                <w:b w:val="0"/>
                <w:i w:val="0"/>
                <w:sz w:val="16"/>
              </w:rPr>
            </w:pPr>
            <w:r>
              <w:rPr>
                <w:b w:val="0"/>
                <w:i w:val="0"/>
                <w:sz w:val="16"/>
              </w:rPr>
              <w:t>502 357 057,00</w:t>
            </w:r>
          </w:p>
        </w:tc>
        <w:tc>
          <w:tcPr>
            <w:tcW w:w="200" w:type="dxa"/>
            <w:shd w:val="clear" w:color="auto" w:fill="FFFFFF"/>
            <w:noWrap w:val="0"/>
            <w:tcMar>
              <w:top w:w="60" w:type="dxa"/>
            </w:tcMar>
            <w:vAlign w:val="top"/>
          </w:tcPr>
          <w:p>
            <w:pPr>
              <w:jc w:val="right"/>
              <w:rPr>
                <w:b w:val="0"/>
                <w:i w:val="0"/>
                <w:sz w:val="16"/>
              </w:rPr>
            </w:pPr>
            <w:r>
              <w:rPr>
                <w:b w:val="0"/>
                <w:i w:val="0"/>
                <w:sz w:val="16"/>
              </w:rPr>
              <w:t>334 147 994,00</w:t>
            </w:r>
          </w:p>
        </w:tc>
        <w:tc>
          <w:tcPr>
            <w:tcW w:w="200" w:type="dxa"/>
            <w:shd w:val="clear" w:color="auto" w:fill="FFFFFF"/>
            <w:noWrap w:val="0"/>
            <w:tcMar>
              <w:top w:w="60" w:type="dxa"/>
            </w:tcMar>
            <w:vAlign w:val="top"/>
          </w:tcPr>
          <w:p>
            <w:pPr>
              <w:jc w:val="right"/>
              <w:rPr>
                <w:b w:val="0"/>
                <w:i w:val="0"/>
                <w:sz w:val="16"/>
              </w:rPr>
            </w:pPr>
            <w:r>
              <w:rPr>
                <w:b w:val="0"/>
                <w:i w:val="0"/>
                <w:sz w:val="16"/>
              </w:rPr>
              <w:t>333 680 052,00</w:t>
            </w:r>
          </w:p>
        </w:tc>
        <w:tc>
          <w:tcPr>
            <w:tcW w:w="200" w:type="dxa"/>
            <w:shd w:val="clear" w:color="auto" w:fill="FFFFFF"/>
            <w:noWrap w:val="0"/>
            <w:tcMar>
              <w:top w:w="60" w:type="dxa"/>
            </w:tcMar>
            <w:vAlign w:val="top"/>
          </w:tcPr>
          <w:p>
            <w:pPr>
              <w:jc w:val="right"/>
              <w:rPr>
                <w:b w:val="0"/>
                <w:i w:val="0"/>
                <w:sz w:val="16"/>
              </w:rPr>
            </w:pPr>
            <w:r>
              <w:rPr>
                <w:b w:val="0"/>
                <w:i w:val="0"/>
                <w:sz w:val="16"/>
              </w:rPr>
              <w:t>333 187 306,00</w:t>
            </w:r>
          </w:p>
        </w:tc>
        <w:tc>
          <w:tcPr>
            <w:tcW w:w="200" w:type="dxa"/>
            <w:shd w:val="clear" w:color="auto" w:fill="FFFFFF"/>
            <w:noWrap w:val="0"/>
            <w:tcMar>
              <w:top w:w="60" w:type="dxa"/>
            </w:tcMar>
            <w:vAlign w:val="top"/>
          </w:tcPr>
          <w:p>
            <w:pPr>
              <w:jc w:val="right"/>
              <w:rPr>
                <w:b w:val="0"/>
                <w:i w:val="0"/>
                <w:sz w:val="16"/>
              </w:rPr>
            </w:pPr>
            <w:r>
              <w:rPr>
                <w:b w:val="0"/>
                <w:i w:val="0"/>
                <w:sz w:val="16"/>
              </w:rPr>
              <w:t>332 604 216,00</w:t>
            </w:r>
          </w:p>
        </w:tc>
        <w:tc>
          <w:tcPr>
            <w:tcW w:w="200" w:type="dxa"/>
            <w:shd w:val="clear" w:color="auto" w:fill="FFFFFF"/>
            <w:noWrap w:val="0"/>
            <w:tcMar>
              <w:top w:w="60" w:type="dxa"/>
            </w:tcMar>
            <w:vAlign w:val="top"/>
          </w:tcPr>
          <w:p>
            <w:pPr>
              <w:jc w:val="right"/>
              <w:rPr>
                <w:b w:val="0"/>
                <w:i w:val="0"/>
                <w:sz w:val="16"/>
              </w:rPr>
            </w:pPr>
            <w:r>
              <w:rPr>
                <w:b w:val="0"/>
                <w:i w:val="0"/>
                <w:sz w:val="16"/>
              </w:rPr>
              <w:t>276 362 304,00</w:t>
            </w:r>
          </w:p>
        </w:tc>
        <w:tc>
          <w:tcPr>
            <w:tcW w:w="200" w:type="dxa"/>
            <w:shd w:val="clear" w:color="auto" w:fill="FFFFFF"/>
            <w:noWrap w:val="0"/>
            <w:tcMar>
              <w:top w:w="60" w:type="dxa"/>
            </w:tcMar>
            <w:vAlign w:val="top"/>
          </w:tcPr>
          <w:p>
            <w:pPr>
              <w:jc w:val="right"/>
              <w:rPr>
                <w:b/>
                <w:i w:val="0"/>
                <w:sz w:val="16"/>
              </w:rPr>
            </w:pPr>
            <w:r>
              <w:rPr>
                <w:b w:val="0"/>
                <w:i w:val="0"/>
                <w:sz w:val="16"/>
              </w:rPr>
              <w:t>282 162 644,00</w:t>
            </w:r>
          </w:p>
        </w:tc>
        <w:tc>
          <w:tcPr>
            <w:tcW w:w="200" w:type="dxa"/>
            <w:shd w:val="clear" w:color="auto" w:fill="FFFFFF"/>
            <w:noWrap w:val="0"/>
            <w:tcMar>
              <w:top w:w="60" w:type="dxa"/>
            </w:tcMar>
            <w:vAlign w:val="top"/>
          </w:tcPr>
          <w:p>
            <w:pPr>
              <w:jc w:val="right"/>
              <w:rPr>
                <w:b w:val="0"/>
                <w:i w:val="0"/>
                <w:sz w:val="16"/>
              </w:rPr>
            </w:pPr>
            <w:r>
              <w:rPr>
                <w:b/>
                <w:i w:val="0"/>
                <w:sz w:val="16"/>
              </w:rPr>
              <w:t>2 897 308 914,00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2 663 000,00</w:t>
            </w:r>
          </w:p>
        </w:tc>
        <w:tc>
          <w:tcPr>
            <w:tcW w:w="200" w:type="dxa"/>
            <w:shd w:val="clear" w:color="auto" w:fill="FFFFFF"/>
            <w:noWrap w:val="0"/>
            <w:tcMar>
              <w:top w:w="60" w:type="dxa"/>
            </w:tcMar>
            <w:vAlign w:val="top"/>
          </w:tcPr>
          <w:p>
            <w:pPr>
              <w:jc w:val="right"/>
              <w:rPr>
                <w:b w:val="0"/>
                <w:i w:val="0"/>
                <w:sz w:val="16"/>
              </w:rPr>
            </w:pPr>
            <w:r>
              <w:rPr>
                <w:b w:val="0"/>
                <w:i w:val="0"/>
                <w:sz w:val="16"/>
              </w:rPr>
              <w:t>6 262 000,00</w:t>
            </w:r>
          </w:p>
        </w:tc>
        <w:tc>
          <w:tcPr>
            <w:tcW w:w="200" w:type="dxa"/>
            <w:shd w:val="clear" w:color="auto" w:fill="FFFFFF"/>
            <w:noWrap w:val="0"/>
            <w:tcMar>
              <w:top w:w="60" w:type="dxa"/>
            </w:tcMar>
            <w:vAlign w:val="top"/>
          </w:tcPr>
          <w:p>
            <w:pPr>
              <w:jc w:val="right"/>
              <w:rPr>
                <w:b w:val="0"/>
                <w:i w:val="0"/>
                <w:sz w:val="16"/>
              </w:rPr>
            </w:pPr>
            <w:r>
              <w:rPr>
                <w:b w:val="0"/>
                <w:i w:val="0"/>
                <w:sz w:val="16"/>
              </w:rPr>
              <w:t>6 286 000,00</w:t>
            </w:r>
          </w:p>
        </w:tc>
        <w:tc>
          <w:tcPr>
            <w:tcW w:w="200" w:type="dxa"/>
            <w:shd w:val="clear" w:color="auto" w:fill="FFFFFF"/>
            <w:noWrap w:val="0"/>
            <w:tcMar>
              <w:top w:w="60" w:type="dxa"/>
            </w:tcMar>
            <w:vAlign w:val="top"/>
          </w:tcPr>
          <w:p>
            <w:pPr>
              <w:jc w:val="right"/>
              <w:rPr>
                <w:b w:val="0"/>
                <w:i w:val="0"/>
                <w:sz w:val="16"/>
              </w:rPr>
            </w:pPr>
            <w:r>
              <w:rPr>
                <w:b w:val="0"/>
                <w:i w:val="0"/>
                <w:sz w:val="16"/>
              </w:rPr>
              <w:t>6 336 000,00</w:t>
            </w:r>
          </w:p>
        </w:tc>
        <w:tc>
          <w:tcPr>
            <w:tcW w:w="200" w:type="dxa"/>
            <w:shd w:val="clear" w:color="auto" w:fill="FFFFFF"/>
            <w:noWrap w:val="0"/>
            <w:tcMar>
              <w:top w:w="60" w:type="dxa"/>
            </w:tcMar>
            <w:vAlign w:val="top"/>
          </w:tcPr>
          <w:p>
            <w:pPr>
              <w:jc w:val="right"/>
              <w:rPr>
                <w:b w:val="0"/>
                <w:i w:val="0"/>
                <w:sz w:val="16"/>
              </w:rPr>
            </w:pPr>
            <w:r>
              <w:rPr>
                <w:b w:val="0"/>
                <w:i w:val="0"/>
                <w:sz w:val="16"/>
              </w:rPr>
              <w:t>6 386 000,00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i w:val="0"/>
                <w:sz w:val="16"/>
              </w:rPr>
            </w:pPr>
            <w:r>
              <w:rPr>
                <w:b w:val="0"/>
                <w:i w:val="0"/>
                <w:sz w:val="16"/>
              </w:rPr>
              <w:t>1 866 000,00</w:t>
            </w:r>
          </w:p>
        </w:tc>
        <w:tc>
          <w:tcPr>
            <w:tcW w:w="200" w:type="dxa"/>
            <w:shd w:val="clear" w:color="auto" w:fill="FFFFFF"/>
            <w:noWrap w:val="0"/>
            <w:tcMar>
              <w:top w:w="60" w:type="dxa"/>
            </w:tcMar>
            <w:vAlign w:val="top"/>
          </w:tcPr>
          <w:p>
            <w:pPr>
              <w:jc w:val="right"/>
              <w:rPr>
                <w:b/>
                <w:i w:val="0"/>
                <w:sz w:val="16"/>
              </w:rPr>
            </w:pPr>
            <w:r>
              <w:rPr>
                <w:b/>
                <w:i w:val="0"/>
                <w:sz w:val="16"/>
              </w:rPr>
              <w:t>29 799 000,00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(без тези по линия на EURI)</w:t>
            </w:r>
          </w:p>
        </w:tc>
        <w:tc>
          <w:tcPr>
            <w:tcW w:w="200" w:type="dxa"/>
            <w:shd w:val="clear" w:color="auto" w:fill="C0C0C0"/>
            <w:noWrap w:val="0"/>
            <w:tcMar>
              <w:top w:w="60" w:type="dxa"/>
            </w:tcMar>
            <w:vAlign w:val="top"/>
          </w:tcPr>
          <w:p>
            <w:pPr>
              <w:jc w:val="right"/>
              <w:rPr>
                <w:b/>
                <w:i w:val="0"/>
                <w:sz w:val="16"/>
              </w:rPr>
            </w:pPr>
            <w:r>
              <w:rPr>
                <w:b/>
                <w:i w:val="0"/>
                <w:sz w:val="16"/>
              </w:rPr>
              <w:t>0,00</w:t>
            </w: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276 362 304,00</w:t>
            </w:r>
          </w:p>
        </w:tc>
        <w:tc>
          <w:tcPr>
            <w:tcW w:w="200" w:type="dxa"/>
            <w:shd w:val="clear" w:color="auto" w:fill="C0C0C0"/>
            <w:noWrap w:val="0"/>
            <w:tcMar>
              <w:top w:w="60" w:type="dxa"/>
            </w:tcMar>
            <w:vAlign w:val="top"/>
          </w:tcPr>
          <w:p>
            <w:pPr>
              <w:jc w:val="right"/>
              <w:rPr>
                <w:b/>
                <w:i w:val="0"/>
                <w:sz w:val="16"/>
              </w:rPr>
            </w:pPr>
            <w:r>
              <w:rPr>
                <w:b/>
                <w:i w:val="0"/>
                <w:sz w:val="16"/>
              </w:rPr>
              <w:t>284 028 644,00</w:t>
            </w:r>
          </w:p>
        </w:tc>
        <w:tc>
          <w:tcPr>
            <w:tcW w:w="200" w:type="dxa"/>
            <w:shd w:val="clear" w:color="auto" w:fill="C0C0C0"/>
            <w:noWrap w:val="0"/>
            <w:tcMar>
              <w:top w:w="60" w:type="dxa"/>
            </w:tcMar>
            <w:vAlign w:val="top"/>
          </w:tcPr>
          <w:p>
            <w:pPr>
              <w:jc w:val="right"/>
              <w:rPr>
                <w:b/>
                <w:i w:val="0"/>
                <w:sz w:val="16"/>
              </w:rPr>
            </w:pPr>
            <w:r>
              <w:rPr>
                <w:b/>
                <w:i w:val="0"/>
                <w:sz w:val="16"/>
              </w:rPr>
              <w:t>2 927 107 914,00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30 168 440,46</w:t>
            </w:r>
          </w:p>
        </w:tc>
        <w:tc>
          <w:tcPr>
            <w:tcW w:w="200" w:type="dxa"/>
            <w:shd w:val="clear" w:color="auto" w:fill="FFFFFF"/>
            <w:noWrap w:val="0"/>
            <w:tcMar>
              <w:top w:w="60" w:type="dxa"/>
            </w:tcMar>
            <w:vAlign w:val="top"/>
          </w:tcPr>
          <w:p>
            <w:pPr>
              <w:jc w:val="right"/>
              <w:rPr>
                <w:b/>
                <w:i w:val="0"/>
                <w:sz w:val="16"/>
              </w:rPr>
            </w:pPr>
            <w:r>
              <w:rPr>
                <w:b/>
                <w:i w:val="0"/>
                <w:sz w:val="16"/>
              </w:rPr>
              <w:t>30 141 423,42</w:t>
            </w:r>
          </w:p>
        </w:tc>
        <w:tc>
          <w:tcPr>
            <w:tcW w:w="200" w:type="dxa"/>
            <w:shd w:val="clear" w:color="auto" w:fill="FFFFFF"/>
            <w:noWrap w:val="0"/>
            <w:tcMar>
              <w:top w:w="60" w:type="dxa"/>
            </w:tcMar>
            <w:vAlign w:val="top"/>
          </w:tcPr>
          <w:p>
            <w:pPr>
              <w:jc w:val="right"/>
              <w:rPr>
                <w:b/>
                <w:i w:val="0"/>
                <w:sz w:val="16"/>
              </w:rPr>
            </w:pPr>
            <w:r>
              <w:rPr>
                <w:b/>
                <w:i w:val="0"/>
                <w:sz w:val="16"/>
              </w:rPr>
              <w:t>20 048 879,64</w:t>
            </w:r>
          </w:p>
        </w:tc>
        <w:tc>
          <w:tcPr>
            <w:tcW w:w="200" w:type="dxa"/>
            <w:shd w:val="clear" w:color="auto" w:fill="FFFFFF"/>
            <w:noWrap w:val="0"/>
            <w:tcMar>
              <w:top w:w="60" w:type="dxa"/>
            </w:tcMar>
            <w:vAlign w:val="top"/>
          </w:tcPr>
          <w:p>
            <w:pPr>
              <w:jc w:val="right"/>
              <w:rPr>
                <w:b/>
                <w:i w:val="0"/>
                <w:sz w:val="16"/>
              </w:rPr>
            </w:pPr>
            <w:r>
              <w:rPr>
                <w:b/>
                <w:i w:val="0"/>
                <w:sz w:val="16"/>
              </w:rPr>
              <w:t>20 020 803,12</w:t>
            </w:r>
          </w:p>
        </w:tc>
        <w:tc>
          <w:tcPr>
            <w:tcW w:w="200" w:type="dxa"/>
            <w:shd w:val="clear" w:color="auto" w:fill="FFFFFF"/>
            <w:noWrap w:val="0"/>
            <w:tcMar>
              <w:top w:w="60" w:type="dxa"/>
            </w:tcMar>
            <w:vAlign w:val="top"/>
          </w:tcPr>
          <w:p>
            <w:pPr>
              <w:jc w:val="right"/>
              <w:rPr>
                <w:b/>
                <w:i w:val="0"/>
                <w:sz w:val="16"/>
              </w:rPr>
            </w:pPr>
            <w:r>
              <w:rPr>
                <w:b/>
                <w:i w:val="0"/>
                <w:sz w:val="16"/>
              </w:rPr>
              <w:t>19 991 238,36</w:t>
            </w:r>
          </w:p>
        </w:tc>
        <w:tc>
          <w:tcPr>
            <w:tcW w:w="200" w:type="dxa"/>
            <w:shd w:val="clear" w:color="auto" w:fill="FFFFFF"/>
            <w:noWrap w:val="0"/>
            <w:tcMar>
              <w:top w:w="60" w:type="dxa"/>
            </w:tcMar>
            <w:vAlign w:val="top"/>
          </w:tcPr>
          <w:p>
            <w:pPr>
              <w:jc w:val="right"/>
              <w:rPr>
                <w:b/>
                <w:i w:val="0"/>
                <w:sz w:val="16"/>
              </w:rPr>
            </w:pPr>
            <w:r>
              <w:rPr>
                <w:b/>
                <w:i w:val="0"/>
                <w:sz w:val="16"/>
              </w:rPr>
              <w:t>19 956 252,96</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val="0"/>
                <w:i w:val="0"/>
                <w:sz w:val="16"/>
              </w:rPr>
            </w:pPr>
            <w:r>
              <w:rPr>
                <w:b/>
                <w:i w:val="0"/>
                <w:sz w:val="16"/>
              </w:rPr>
              <w:t>140 327 037,96</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да) от Регламент (ЕС) № 1305/2013 - EURI(NGEU)/Операции, финансирани от допълнителните средства, посочени в член 58а, параграф 1</w:t>
            </w: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r>
              <w:rPr>
                <w:b w:val="0"/>
                <w:i w:val="0"/>
                <w:sz w:val="16"/>
              </w:rPr>
              <w:t>59 744 633,00</w:t>
            </w:r>
          </w:p>
        </w:tc>
        <w:tc>
          <w:tcPr>
            <w:tcW w:w="200" w:type="dxa"/>
            <w:shd w:val="clear" w:color="auto" w:fill="FFFFFF"/>
            <w:noWrap w:val="0"/>
            <w:tcMar>
              <w:top w:w="60" w:type="dxa"/>
            </w:tcMar>
            <w:vAlign w:val="top"/>
          </w:tcPr>
          <w:p>
            <w:pPr>
              <w:jc w:val="right"/>
              <w:rPr>
                <w:b/>
                <w:i w:val="0"/>
                <w:sz w:val="16"/>
              </w:rPr>
            </w:pPr>
            <w:r>
              <w:rPr>
                <w:b w:val="0"/>
                <w:i w:val="0"/>
                <w:sz w:val="16"/>
              </w:rPr>
              <w:t>142 192 228,00</w:t>
            </w:r>
          </w:p>
        </w:tc>
        <w:tc>
          <w:tcPr>
            <w:tcW w:w="200" w:type="dxa"/>
            <w:shd w:val="clear" w:color="auto" w:fill="FFFFFF"/>
            <w:noWrap w:val="0"/>
            <w:tcMar>
              <w:top w:w="60" w:type="dxa"/>
            </w:tcMar>
            <w:vAlign w:val="top"/>
          </w:tcPr>
          <w:p>
            <w:pPr>
              <w:jc w:val="right"/>
              <w:rPr>
                <w:b/>
                <w:i w:val="0"/>
                <w:sz w:val="16"/>
              </w:rPr>
            </w:pPr>
            <w:r>
              <w:rPr>
                <w:b/>
                <w:i w:val="0"/>
                <w:sz w:val="16"/>
              </w:rPr>
              <w:t>201 936 861,00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 EURI)</w:t>
            </w:r>
          </w:p>
        </w:tc>
        <w:tc>
          <w:tcPr>
            <w:tcW w:w="200" w:type="dxa"/>
            <w:shd w:val="clear" w:color="auto" w:fill="C0C0C0"/>
            <w:noWrap w:val="0"/>
            <w:tcMar>
              <w:top w:w="60" w:type="dxa"/>
            </w:tcMar>
            <w:vAlign w:val="top"/>
          </w:tcPr>
          <w:p>
            <w:pPr>
              <w:jc w:val="right"/>
              <w:rPr>
                <w:b/>
                <w:i w:val="0"/>
                <w:sz w:val="16"/>
              </w:rPr>
            </w:pP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336 106 937,00</w:t>
            </w:r>
          </w:p>
        </w:tc>
        <w:tc>
          <w:tcPr>
            <w:tcW w:w="200" w:type="dxa"/>
            <w:shd w:val="clear" w:color="auto" w:fill="C0C0C0"/>
            <w:noWrap w:val="0"/>
            <w:tcMar>
              <w:top w:w="60" w:type="dxa"/>
            </w:tcMar>
            <w:vAlign w:val="top"/>
          </w:tcPr>
          <w:p>
            <w:pPr>
              <w:jc w:val="right"/>
              <w:rPr>
                <w:b/>
                <w:i w:val="0"/>
                <w:sz w:val="16"/>
              </w:rPr>
            </w:pPr>
            <w:r>
              <w:rPr>
                <w:b/>
                <w:i w:val="0"/>
                <w:sz w:val="16"/>
              </w:rPr>
              <w:t>426 220 872,00</w:t>
            </w:r>
          </w:p>
        </w:tc>
        <w:tc>
          <w:tcPr>
            <w:tcW w:w="200" w:type="dxa"/>
            <w:shd w:val="clear" w:color="auto" w:fill="C0C0C0"/>
            <w:noWrap w:val="0"/>
            <w:tcMar>
              <w:top w:w="60" w:type="dxa"/>
            </w:tcMar>
            <w:vAlign w:val="top"/>
          </w:tcPr>
          <w:p>
            <w:pPr>
              <w:jc w:val="right"/>
              <w:rPr>
                <w:b w:val="0"/>
                <w:i w:val="0"/>
                <w:sz w:val="16"/>
              </w:rPr>
            </w:pPr>
            <w:r>
              <w:rPr>
                <w:b/>
                <w:i w:val="0"/>
                <w:sz w:val="16"/>
              </w:rPr>
              <w:t>3 129 044 775,00</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EAFRD and EURI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1 543 391 051,20</w:t>
            </w:r>
          </w:p>
        </w:tc>
        <w:tc>
          <w:tcPr>
            <w:tcW w:w="1900" w:type="pct"/>
            <w:shd w:val="clear" w:color="auto" w:fill="C0C0C0"/>
            <w:noWrap w:val="0"/>
            <w:tcMar>
              <w:top w:w="60" w:type="dxa"/>
            </w:tcMar>
            <w:vAlign w:val="top"/>
          </w:tcPr>
          <w:p>
            <w:pPr>
              <w:jc w:val="left"/>
              <w:rPr>
                <w:b/>
                <w:i w:val="0"/>
                <w:sz w:val="16"/>
              </w:rPr>
            </w:pPr>
            <w:r>
              <w:rPr>
                <w:b w:val="0"/>
                <w:i w:val="0"/>
                <w:sz w:val="16"/>
              </w:rPr>
              <w:t>Share of the total indicative amount for EAFRD and EURI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49,32</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EAFRD,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1 458 671 051,20</w:t>
            </w:r>
          </w:p>
        </w:tc>
        <w:tc>
          <w:tcPr>
            <w:tcW w:w="1900" w:type="pct"/>
            <w:shd w:val="clear" w:color="auto" w:fill="C0C0C0"/>
            <w:noWrap w:val="0"/>
            <w:tcMar>
              <w:top w:w="60" w:type="dxa"/>
            </w:tcMar>
            <w:vAlign w:val="top"/>
          </w:tcPr>
          <w:p>
            <w:pPr>
              <w:jc w:val="left"/>
              <w:rPr>
                <w:b/>
                <w:i w:val="0"/>
                <w:sz w:val="16"/>
              </w:rPr>
            </w:pPr>
            <w:r>
              <w:rPr>
                <w:b w:val="0"/>
                <w:i w:val="0"/>
                <w:sz w:val="16"/>
              </w:rPr>
              <w:t>Share of the total indicative amount, for EAFRD,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49,83</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EURI,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Share of total indicative amount, for EURI,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EAFRD and EURI contribution for Art59(6)</w:t>
            </w:r>
          </w:p>
        </w:tc>
        <w:tc>
          <w:tcPr>
            <w:tcW w:w="600" w:type="pct"/>
            <w:shd w:val="clear" w:color="auto" w:fill="FFFFFF"/>
            <w:noWrap w:val="0"/>
            <w:tcMar>
              <w:top w:w="60" w:type="dxa"/>
            </w:tcMar>
            <w:vAlign w:val="top"/>
          </w:tcPr>
          <w:p>
            <w:pPr>
              <w:jc w:val="right"/>
              <w:rPr>
                <w:b w:val="0"/>
                <w:i w:val="0"/>
                <w:sz w:val="16"/>
              </w:rPr>
            </w:pPr>
            <w:r>
              <w:rPr>
                <w:b/>
                <w:i w:val="0"/>
                <w:sz w:val="16"/>
              </w:rPr>
              <w:t>1 191 257 533,00</w:t>
            </w:r>
          </w:p>
        </w:tc>
        <w:tc>
          <w:tcPr>
            <w:tcW w:w="1900" w:type="pct"/>
            <w:shd w:val="clear" w:color="auto" w:fill="C0C0C0"/>
            <w:noWrap w:val="0"/>
            <w:tcMar>
              <w:top w:w="60" w:type="dxa"/>
            </w:tcMar>
            <w:vAlign w:val="top"/>
          </w:tcPr>
          <w:p>
            <w:pPr>
              <w:jc w:val="left"/>
              <w:rPr>
                <w:b/>
                <w:i w:val="0"/>
                <w:sz w:val="16"/>
              </w:rPr>
            </w:pPr>
            <w:r>
              <w:rPr>
                <w:b w:val="0"/>
                <w:i w:val="0"/>
                <w:sz w:val="16"/>
              </w:rPr>
              <w:t>Share of EAFRD and EURI contribution for Art59(6) (%)</w:t>
            </w:r>
          </w:p>
        </w:tc>
        <w:tc>
          <w:tcPr>
            <w:tcW w:w="600" w:type="pct"/>
            <w:shd w:val="clear" w:color="auto" w:fill="FFFFFF"/>
            <w:noWrap w:val="0"/>
            <w:tcMar>
              <w:top w:w="60" w:type="dxa"/>
            </w:tcMar>
            <w:vAlign w:val="top"/>
          </w:tcPr>
          <w:p>
            <w:pPr>
              <w:jc w:val="right"/>
              <w:rPr>
                <w:b w:val="0"/>
                <w:i w:val="0"/>
                <w:sz w:val="16"/>
              </w:rPr>
            </w:pPr>
            <w:r>
              <w:rPr>
                <w:b/>
                <w:i w:val="0"/>
                <w:sz w:val="16"/>
              </w:rPr>
              <w:t>38,07</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EAFRD contribution for Art59(6)</w:t>
            </w:r>
          </w:p>
        </w:tc>
        <w:tc>
          <w:tcPr>
            <w:tcW w:w="600" w:type="pct"/>
            <w:shd w:val="clear" w:color="auto" w:fill="FFFFFF"/>
            <w:noWrap w:val="0"/>
            <w:tcMar>
              <w:top w:w="60" w:type="dxa"/>
            </w:tcMar>
            <w:vAlign w:val="top"/>
          </w:tcPr>
          <w:p>
            <w:pPr>
              <w:jc w:val="right"/>
              <w:rPr>
                <w:b w:val="0"/>
                <w:i w:val="0"/>
                <w:sz w:val="16"/>
              </w:rPr>
            </w:pPr>
            <w:r>
              <w:rPr>
                <w:b/>
                <w:i w:val="0"/>
                <w:sz w:val="16"/>
              </w:rPr>
              <w:t>1 106 537 533,00</w:t>
            </w:r>
          </w:p>
        </w:tc>
        <w:tc>
          <w:tcPr>
            <w:tcW w:w="1900" w:type="pct"/>
            <w:shd w:val="clear" w:color="auto" w:fill="C0C0C0"/>
            <w:noWrap w:val="0"/>
            <w:tcMar>
              <w:top w:w="60" w:type="dxa"/>
            </w:tcMar>
            <w:vAlign w:val="top"/>
          </w:tcPr>
          <w:p>
            <w:pPr>
              <w:jc w:val="left"/>
              <w:rPr>
                <w:b/>
                <w:i w:val="0"/>
                <w:sz w:val="16"/>
              </w:rPr>
            </w:pPr>
            <w:r>
              <w:rPr>
                <w:b w:val="0"/>
                <w:i w:val="0"/>
                <w:sz w:val="16"/>
              </w:rPr>
              <w:t>Share of total EAFRD contribution for Art59(6) (%)</w:t>
            </w:r>
          </w:p>
        </w:tc>
        <w:tc>
          <w:tcPr>
            <w:tcW w:w="600" w:type="pct"/>
            <w:shd w:val="clear" w:color="auto" w:fill="FFFFFF"/>
            <w:noWrap w:val="0"/>
            <w:tcMar>
              <w:top w:w="60" w:type="dxa"/>
            </w:tcMar>
            <w:vAlign w:val="top"/>
          </w:tcPr>
          <w:p>
            <w:pPr>
              <w:jc w:val="right"/>
              <w:rPr>
                <w:b w:val="0"/>
                <w:i w:val="0"/>
                <w:sz w:val="16"/>
              </w:rPr>
            </w:pPr>
            <w:r>
              <w:rPr>
                <w:b/>
                <w:i w:val="0"/>
                <w:sz w:val="16"/>
              </w:rPr>
              <w:t>35.71</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EURI contribution for Art59(6)</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Share of total EURI contribution for Art59(6)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p>
      <w:pPr>
        <w:rPr>
          <w:b/>
          <w:i w:val="0"/>
        </w:rPr>
        <w:sectPr>
          <w:pgSz w:w="15840" w:h="12240" w:orient="landscape"/>
          <w:pgMar w:top="900" w:right="900" w:bottom="900" w:left="900" w:header="720" w:footer="720"/>
          <w:cols w:space="720"/>
        </w:sectPr>
      </w:pPr>
    </w:p>
    <w:p>
      <w:pPr>
        <w:pStyle w:val="Heading2"/>
      </w:pPr>
      <w:r>
        <w:t xml:space="preserve"> </w:t>
      </w:r>
      <w:bookmarkStart w:id="144" w:name="_Toc256000144"/>
      <w:r>
        <w:t>Единно процентно участие на ЕЗФРСР за всички мерки с разбивка по вид регион, съгласно посоченото в член 59, параграф 3 от Регламент (ЕС) № 1305/2013</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2022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2022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5" w:name="_Toc256000145"/>
      <w:r>
        <w:rPr>
          <w:b/>
        </w:rPr>
        <w:t>Разбивката по мярка или вид операция, с конкретния размер на процентното участие на ЕЗФРСР (в евро за целия период 2014 — 2022 г.)</w:t>
      </w:r>
      <w:bookmarkEnd w:id="145"/>
    </w:p>
    <w:p>
      <w:pPr>
        <w:pStyle w:val="Heading3"/>
        <w:jc w:val="left"/>
        <w:rPr>
          <w:b w:val="0"/>
        </w:rPr>
      </w:pPr>
      <w:bookmarkStart w:id="146" w:name="_Toc256000146"/>
      <w:r>
        <w:rPr>
          <w:b w:val="0"/>
        </w:rPr>
        <w:t>М01 — Трансфер на знания и действия за осведомяване (член 14)</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20 700 000,00</w:t>
            </w:r>
            <w:r>
              <w:rPr>
                <w:b w:val="0"/>
                <w:sz w:val="16"/>
              </w:rPr>
              <w:br/>
            </w:r>
            <w:r>
              <w:rPr>
                <w:b w:val="0"/>
                <w:sz w:val="16"/>
              </w:rPr>
              <w:t>0,00</w:t>
            </w:r>
            <w:r>
              <w:rPr>
                <w:b w:val="0"/>
                <w:sz w:val="16"/>
              </w:rPr>
              <w:br/>
            </w:r>
            <w:r>
              <w:rPr>
                <w:b w:val="0"/>
                <w:sz w:val="16"/>
              </w:rPr>
              <w:t>20 700 000,00</w:t>
            </w:r>
          </w:p>
        </w:tc>
      </w:tr>
    </w:tbl>
    <w:p>
      <w:pPr>
        <w:pStyle w:val="Heading3"/>
        <w:jc w:val="left"/>
        <w:rPr>
          <w:b w:val="0"/>
        </w:rPr>
      </w:pPr>
      <w:r>
        <w:rPr>
          <w:b/>
        </w:rPr>
        <w:br w:type="page"/>
      </w:r>
      <w:bookmarkStart w:id="147" w:name="_Toc256000147"/>
      <w:r>
        <w:rPr>
          <w:b w:val="0"/>
        </w:rPr>
        <w:t>М02 —  Консултантски услуги, услуги по управление на стопанство и услуги по заместване в стопанство (член 15)</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8 156 117,00 (2A)</w:t>
            </w:r>
          </w:p>
          <w:p>
            <w:pPr>
              <w:jc w:val="right"/>
              <w:rPr>
                <w:b w:val="0"/>
                <w:sz w:val="16"/>
              </w:rPr>
            </w:pPr>
            <w:r>
              <w:rPr>
                <w:b w:val="0"/>
                <w:sz w:val="16"/>
              </w:rPr>
              <w:t>2 766 352,00 (2B)</w:t>
            </w:r>
          </w:p>
          <w:p>
            <w:pPr>
              <w:jc w:val="right"/>
              <w:rPr>
                <w:b w:val="0"/>
                <w:sz w:val="16"/>
              </w:rPr>
            </w:pPr>
            <w:r>
              <w:rPr>
                <w:b w:val="0"/>
                <w:sz w:val="16"/>
              </w:rPr>
              <w:t>768 158,00 (3A)</w:t>
            </w:r>
          </w:p>
          <w:p>
            <w:pPr>
              <w:jc w:val="right"/>
              <w:rPr>
                <w:b w:val="0"/>
                <w:sz w:val="16"/>
              </w:rPr>
            </w:pPr>
            <w:r>
              <w:rPr>
                <w:b w:val="0"/>
                <w:sz w:val="16"/>
              </w:rPr>
              <w:t>399 258,00 (3B)</w:t>
            </w:r>
          </w:p>
          <w:p>
            <w:pPr>
              <w:jc w:val="right"/>
              <w:rPr>
                <w:b w:val="0"/>
                <w:sz w:val="16"/>
              </w:rPr>
            </w:pPr>
            <w:r>
              <w:rPr>
                <w:b w:val="0"/>
                <w:sz w:val="16"/>
              </w:rPr>
              <w:t>1 966 202,00 (P4)</w:t>
            </w:r>
          </w:p>
          <w:p>
            <w:pPr>
              <w:jc w:val="right"/>
              <w:rPr>
                <w:b w:val="0"/>
                <w:sz w:val="16"/>
              </w:rPr>
            </w:pPr>
            <w:r>
              <w:rPr>
                <w:b w:val="0"/>
                <w:sz w:val="16"/>
              </w:rPr>
              <w:t>296 151,00 (5A)</w:t>
            </w:r>
          </w:p>
          <w:p>
            <w:pPr>
              <w:jc w:val="right"/>
              <w:rPr>
                <w:b w:val="0"/>
                <w:sz w:val="16"/>
              </w:rPr>
            </w:pPr>
            <w:r>
              <w:rPr>
                <w:b w:val="0"/>
                <w:sz w:val="16"/>
              </w:rPr>
              <w:t>838 020,00 (5B)</w:t>
            </w:r>
          </w:p>
          <w:p>
            <w:pPr>
              <w:jc w:val="right"/>
              <w:rPr>
                <w:b w:val="0"/>
                <w:sz w:val="16"/>
              </w:rPr>
            </w:pPr>
            <w:r>
              <w:rPr>
                <w:b w:val="0"/>
                <w:sz w:val="16"/>
              </w:rPr>
              <w:t>838 020,00 (5C)</w:t>
            </w:r>
          </w:p>
          <w:p>
            <w:pPr>
              <w:jc w:val="right"/>
              <w:rPr>
                <w:b w:val="0"/>
                <w:sz w:val="16"/>
              </w:rPr>
            </w:pPr>
            <w:r>
              <w:rPr>
                <w:b w:val="0"/>
                <w:sz w:val="16"/>
              </w:rPr>
              <w:t>838 020,00 (5D)</w:t>
            </w:r>
          </w:p>
          <w:p>
            <w:pPr>
              <w:jc w:val="right"/>
              <w:rPr>
                <w:b w:val="0"/>
                <w:sz w:val="16"/>
              </w:rPr>
            </w:pPr>
            <w:r>
              <w:rPr>
                <w:b w:val="0"/>
                <w:sz w:val="16"/>
              </w:rPr>
              <w:t>838 020,00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17 704 318,00</w:t>
            </w:r>
            <w:r>
              <w:rPr>
                <w:b w:val="0"/>
                <w:sz w:val="16"/>
              </w:rPr>
              <w:br/>
            </w:r>
            <w:r>
              <w:rPr>
                <w:b w:val="0"/>
                <w:sz w:val="16"/>
              </w:rPr>
              <w:t>0,00</w:t>
            </w:r>
            <w:r>
              <w:rPr>
                <w:b w:val="0"/>
                <w:sz w:val="16"/>
              </w:rPr>
              <w:br/>
            </w:r>
            <w:r>
              <w:rPr>
                <w:b w:val="0"/>
                <w:sz w:val="16"/>
              </w:rPr>
              <w:t>17 704 318,00</w:t>
            </w:r>
          </w:p>
        </w:tc>
      </w:tr>
    </w:tbl>
    <w:p>
      <w:pPr>
        <w:pStyle w:val="Heading3"/>
        <w:jc w:val="left"/>
        <w:rPr>
          <w:b w:val="0"/>
        </w:rPr>
      </w:pPr>
      <w:r>
        <w:rPr>
          <w:b/>
        </w:rPr>
        <w:br w:type="page"/>
      </w:r>
      <w:bookmarkStart w:id="148" w:name="_Toc256000148"/>
      <w:r>
        <w:rPr>
          <w:b w:val="0"/>
        </w:rPr>
        <w:t>M04 — Инвестиции в материални активи (член 17)</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13 000 000,00</w:t>
            </w:r>
          </w:p>
        </w:tc>
        <w:tc>
          <w:tcPr>
            <w:tcW w:w="2400" w:type="dxa"/>
            <w:shd w:val="clear" w:color="auto" w:fill="FFFFFF"/>
            <w:noWrap w:val="0"/>
            <w:tcMar>
              <w:top w:w="60" w:type="dxa"/>
            </w:tcMar>
            <w:vAlign w:val="top"/>
          </w:tcPr>
          <w:p>
            <w:pPr>
              <w:jc w:val="right"/>
              <w:rPr>
                <w:b w:val="0"/>
                <w:sz w:val="16"/>
              </w:rPr>
            </w:pPr>
            <w:r>
              <w:rPr>
                <w:b w:val="0"/>
                <w:sz w:val="16"/>
              </w:rPr>
              <w:t>305 396 927,00 (2A)</w:t>
            </w:r>
          </w:p>
          <w:p>
            <w:pPr>
              <w:jc w:val="right"/>
              <w:rPr>
                <w:b w:val="0"/>
                <w:sz w:val="16"/>
              </w:rPr>
            </w:pPr>
            <w:r>
              <w:rPr>
                <w:b w:val="0"/>
                <w:sz w:val="16"/>
              </w:rPr>
              <w:t>71 445 025,00 (2B)</w:t>
            </w:r>
          </w:p>
          <w:p>
            <w:pPr>
              <w:jc w:val="right"/>
              <w:rPr>
                <w:b w:val="0"/>
                <w:sz w:val="16"/>
              </w:rPr>
            </w:pPr>
            <w:r>
              <w:rPr>
                <w:b w:val="0"/>
                <w:sz w:val="16"/>
              </w:rPr>
              <w:t>270 790 802,00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48 349 395,00 (5A)</w:t>
            </w:r>
          </w:p>
          <w:p>
            <w:pPr>
              <w:jc w:val="right"/>
              <w:rPr>
                <w:b w:val="0"/>
                <w:sz w:val="16"/>
              </w:rPr>
            </w:pPr>
            <w:r>
              <w:rPr>
                <w:b w:val="0"/>
                <w:sz w:val="16"/>
              </w:rPr>
              <w:t>147 464 727,00 (5B)</w:t>
            </w:r>
          </w:p>
          <w:p>
            <w:pPr>
              <w:jc w:val="right"/>
              <w:rPr>
                <w:b w:val="0"/>
                <w:sz w:val="16"/>
              </w:rPr>
            </w:pPr>
            <w:r>
              <w:rPr>
                <w:b w:val="0"/>
                <w:sz w:val="16"/>
              </w:rPr>
              <w:t>24 622 260,00 (5C)</w:t>
            </w:r>
          </w:p>
          <w:p>
            <w:pPr>
              <w:jc w:val="right"/>
              <w:rPr>
                <w:b w:val="0"/>
                <w:sz w:val="16"/>
              </w:rPr>
            </w:pPr>
            <w:r>
              <w:rPr>
                <w:b w:val="0"/>
                <w:sz w:val="16"/>
              </w:rPr>
              <w:t>979 995,00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72 616 861,00 (3A)</w:t>
            </w:r>
          </w:p>
          <w:p>
            <w:pPr>
              <w:jc w:val="right"/>
              <w:rPr>
                <w:b w:val="0"/>
                <w:sz w:val="16"/>
              </w:rPr>
            </w:pPr>
            <w:r>
              <w:rPr>
                <w:b w:val="0"/>
                <w:sz w:val="16"/>
              </w:rPr>
              <w:t>19 734 231,00 (P4)</w:t>
            </w:r>
          </w:p>
          <w:p>
            <w:pPr>
              <w:jc w:val="right"/>
              <w:rPr>
                <w:b w:val="0"/>
                <w:sz w:val="16"/>
              </w:rPr>
            </w:pPr>
            <w:r>
              <w:rPr>
                <w:b w:val="0"/>
                <w:sz w:val="16"/>
              </w:rPr>
              <w:t>10 000 000,00 (5A)</w:t>
            </w:r>
          </w:p>
          <w:p>
            <w:pPr>
              <w:jc w:val="right"/>
              <w:rPr>
                <w:b w:val="0"/>
                <w:sz w:val="16"/>
              </w:rPr>
            </w:pPr>
            <w:r>
              <w:rPr>
                <w:b w:val="0"/>
                <w:sz w:val="16"/>
              </w:rPr>
              <w:t>36 985 769,00 (5B)</w:t>
            </w:r>
          </w:p>
          <w:p>
            <w:pPr>
              <w:jc w:val="right"/>
              <w:rPr>
                <w:b w:val="0"/>
                <w:sz w:val="16"/>
              </w:rPr>
            </w:pPr>
            <w:r>
              <w:rPr>
                <w:b w:val="0"/>
                <w:sz w:val="16"/>
              </w:rPr>
              <w:t>10 000 000,00 (5C)</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13 000 000,00</w:t>
            </w:r>
            <w:r>
              <w:rPr>
                <w:b w:val="0"/>
                <w:sz w:val="16"/>
              </w:rPr>
              <w:br/>
            </w:r>
            <w:r>
              <w:rPr>
                <w:b w:val="0"/>
                <w:sz w:val="16"/>
              </w:rPr>
              <w:t>0,00</w:t>
            </w:r>
            <w:r>
              <w:rPr>
                <w:b w:val="0"/>
                <w:sz w:val="16"/>
              </w:rPr>
              <w:br/>
            </w:r>
            <w:r>
              <w:rPr>
                <w:b w:val="0"/>
                <w:sz w:val="16"/>
              </w:rPr>
              <w:t>13 000 000,00</w:t>
            </w:r>
          </w:p>
        </w:tc>
        <w:tc>
          <w:tcPr>
            <w:tcW w:w="2400" w:type="dxa"/>
            <w:shd w:val="clear" w:color="auto" w:fill="C0C0C0"/>
            <w:noWrap w:val="0"/>
            <w:tcMar>
              <w:top w:w="60" w:type="dxa"/>
            </w:tcMar>
            <w:vAlign w:val="top"/>
          </w:tcPr>
          <w:p>
            <w:pPr>
              <w:jc w:val="right"/>
              <w:rPr>
                <w:b w:val="0"/>
                <w:sz w:val="16"/>
              </w:rPr>
            </w:pPr>
            <w:r>
              <w:rPr>
                <w:b w:val="0"/>
                <w:sz w:val="16"/>
              </w:rPr>
              <w:t>880 467 221,00</w:t>
            </w:r>
            <w:r>
              <w:rPr>
                <w:b w:val="0"/>
                <w:sz w:val="16"/>
              </w:rPr>
              <w:br/>
            </w:r>
            <w:r>
              <w:rPr>
                <w:b w:val="0"/>
                <w:sz w:val="16"/>
              </w:rPr>
              <w:t>149 336 861,00</w:t>
            </w:r>
            <w:r>
              <w:rPr>
                <w:b w:val="0"/>
                <w:sz w:val="16"/>
              </w:rPr>
              <w:br/>
            </w:r>
            <w:r>
              <w:rPr>
                <w:b w:val="0"/>
                <w:sz w:val="16"/>
              </w:rPr>
              <w:t>1 029 804 082,00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309 554 467,00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232 834 467,00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76 720 000,00</w:t>
            </w:r>
          </w:p>
        </w:tc>
      </w:tr>
    </w:tbl>
    <w:p>
      <w:pPr>
        <w:pStyle w:val="Heading3"/>
        <w:jc w:val="left"/>
        <w:rPr>
          <w:b w:val="0"/>
        </w:rPr>
      </w:pPr>
      <w:r>
        <w:rPr>
          <w:b/>
        </w:rPr>
        <w:br w:type="page"/>
      </w:r>
      <w:bookmarkStart w:id="149" w:name="_Toc256000149"/>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49"/>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23 450 935,00 (3B)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23 450 935,00</w:t>
            </w:r>
            <w:r>
              <w:rPr>
                <w:b w:val="0"/>
                <w:sz w:val="16"/>
              </w:rPr>
              <w:br/>
            </w:r>
            <w:r>
              <w:rPr>
                <w:b w:val="0"/>
                <w:sz w:val="16"/>
              </w:rPr>
              <w:t>0,00</w:t>
            </w:r>
            <w:r>
              <w:rPr>
                <w:b w:val="0"/>
                <w:sz w:val="16"/>
              </w:rPr>
              <w:br/>
            </w:r>
            <w:r>
              <w:rPr>
                <w:b w:val="0"/>
                <w:sz w:val="16"/>
              </w:rPr>
              <w:t>23 450 935,00</w:t>
            </w:r>
          </w:p>
        </w:tc>
      </w:tr>
    </w:tbl>
    <w:p>
      <w:pPr>
        <w:pStyle w:val="Heading3"/>
        <w:jc w:val="left"/>
        <w:rPr>
          <w:b w:val="0"/>
        </w:rPr>
      </w:pPr>
      <w:r>
        <w:rPr>
          <w:b/>
        </w:rPr>
        <w:br w:type="page"/>
      </w:r>
      <w:bookmarkStart w:id="150" w:name="_Toc256000150"/>
      <w:r>
        <w:rPr>
          <w:b w:val="0"/>
        </w:rPr>
        <w:t>M06 — Развитие на стопанства и предприятия (член 19)</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1 500 000,00</w:t>
            </w:r>
          </w:p>
        </w:tc>
        <w:tc>
          <w:tcPr>
            <w:tcW w:w="2400" w:type="dxa"/>
            <w:shd w:val="clear" w:color="auto" w:fill="FFFFFF"/>
            <w:noWrap w:val="0"/>
            <w:tcMar>
              <w:top w:w="60" w:type="dxa"/>
            </w:tcMar>
            <w:vAlign w:val="top"/>
          </w:tcPr>
          <w:p>
            <w:pPr>
              <w:jc w:val="right"/>
              <w:rPr>
                <w:b w:val="0"/>
                <w:sz w:val="16"/>
              </w:rPr>
            </w:pPr>
            <w:r>
              <w:rPr>
                <w:b w:val="0"/>
                <w:sz w:val="16"/>
              </w:rPr>
              <w:t>54 353 500,00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67 597 832,00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20 000 000,00 (2A)</w:t>
            </w:r>
          </w:p>
          <w:p>
            <w:pPr>
              <w:jc w:val="right"/>
              <w:rPr>
                <w:b w:val="0"/>
                <w:sz w:val="16"/>
              </w:rPr>
            </w:pPr>
            <w:r>
              <w:rPr>
                <w:b w:val="0"/>
                <w:sz w:val="16"/>
              </w:rPr>
              <w:t>24 600 000,00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1 500 000,00</w:t>
            </w:r>
            <w:r>
              <w:rPr>
                <w:b w:val="0"/>
                <w:sz w:val="16"/>
              </w:rPr>
              <w:br/>
            </w:r>
            <w:r>
              <w:rPr>
                <w:b w:val="0"/>
                <w:sz w:val="16"/>
              </w:rPr>
              <w:t>0,00</w:t>
            </w:r>
            <w:r>
              <w:rPr>
                <w:b w:val="0"/>
                <w:sz w:val="16"/>
              </w:rPr>
              <w:br/>
            </w:r>
            <w:r>
              <w:rPr>
                <w:b w:val="0"/>
                <w:sz w:val="16"/>
              </w:rPr>
              <w:t>1 500 000,00</w:t>
            </w:r>
          </w:p>
        </w:tc>
        <w:tc>
          <w:tcPr>
            <w:tcW w:w="2400" w:type="dxa"/>
            <w:shd w:val="clear" w:color="auto" w:fill="C0C0C0"/>
            <w:noWrap w:val="0"/>
            <w:tcMar>
              <w:top w:w="60" w:type="dxa"/>
            </w:tcMar>
            <w:vAlign w:val="top"/>
          </w:tcPr>
          <w:p>
            <w:pPr>
              <w:jc w:val="right"/>
              <w:rPr>
                <w:b w:val="0"/>
                <w:sz w:val="16"/>
              </w:rPr>
            </w:pPr>
            <w:r>
              <w:rPr>
                <w:b w:val="0"/>
                <w:sz w:val="16"/>
              </w:rPr>
              <w:t>201 221 967,00</w:t>
            </w:r>
            <w:r>
              <w:rPr>
                <w:b w:val="0"/>
                <w:sz w:val="16"/>
              </w:rPr>
              <w:br/>
            </w:r>
            <w:r>
              <w:rPr>
                <w:b w:val="0"/>
                <w:sz w:val="16"/>
              </w:rPr>
              <w:t>44 600 000,00</w:t>
            </w:r>
            <w:r>
              <w:rPr>
                <w:b w:val="0"/>
                <w:sz w:val="16"/>
              </w:rPr>
              <w:br/>
            </w:r>
            <w:r>
              <w:rPr>
                <w:b w:val="0"/>
                <w:sz w:val="16"/>
              </w:rPr>
              <w:t>245 821 967,00</w:t>
            </w:r>
          </w:p>
        </w:tc>
      </w:tr>
    </w:tbl>
    <w:p>
      <w:pPr>
        <w:pStyle w:val="Heading3"/>
        <w:jc w:val="left"/>
        <w:rPr>
          <w:b w:val="0"/>
        </w:rPr>
      </w:pPr>
      <w:r>
        <w:rPr>
          <w:b/>
        </w:rPr>
        <w:br w:type="page"/>
      </w:r>
      <w:bookmarkStart w:id="151" w:name="_Toc256000151"/>
      <w:r>
        <w:rPr>
          <w:b w:val="0"/>
        </w:rPr>
        <w:t>М07 — Основни услуги и обновяване на селата в селските райони (член 20)</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519 456 524,00 (6B)</w:t>
            </w:r>
          </w:p>
          <w:p>
            <w:pPr>
              <w:jc w:val="right"/>
              <w:rPr>
                <w:b w:val="0"/>
                <w:sz w:val="16"/>
              </w:rPr>
            </w:pPr>
            <w:r>
              <w:rPr>
                <w:b w:val="0"/>
                <w:sz w:val="16"/>
              </w:rPr>
              <w:t>35 700 000,00 (6C)</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614 656 524,00</w:t>
            </w:r>
            <w:r>
              <w:rPr>
                <w:b w:val="0"/>
                <w:sz w:val="16"/>
              </w:rPr>
              <w:br/>
            </w:r>
            <w:r>
              <w:rPr>
                <w:b w:val="0"/>
                <w:sz w:val="16"/>
              </w:rPr>
              <w:t>0,00</w:t>
            </w:r>
            <w:r>
              <w:rPr>
                <w:b w:val="0"/>
                <w:sz w:val="16"/>
              </w:rPr>
              <w:br/>
            </w:r>
            <w:r>
              <w:rPr>
                <w:b w:val="0"/>
                <w:sz w:val="16"/>
              </w:rPr>
              <w:t>614 656 524,00</w:t>
            </w:r>
          </w:p>
        </w:tc>
      </w:tr>
    </w:tbl>
    <w:p>
      <w:pPr>
        <w:pStyle w:val="Heading3"/>
        <w:jc w:val="left"/>
        <w:rPr>
          <w:b w:val="0"/>
        </w:rPr>
      </w:pPr>
      <w:r>
        <w:rPr>
          <w:b/>
        </w:rPr>
        <w:br w:type="page"/>
      </w:r>
      <w:bookmarkStart w:id="152" w:name="_Toc256000152"/>
      <w:r>
        <w:rPr>
          <w:b w:val="0"/>
        </w:rPr>
        <w:t>М08 — Инвестиции в развитие на горските райони и подобряване на жизнеспособността на горите (членове 21 — 26)</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15 725 000,00 (2C+)</w:t>
            </w:r>
          </w:p>
          <w:p>
            <w:pPr>
              <w:jc w:val="right"/>
              <w:rPr>
                <w:b w:val="0"/>
                <w:sz w:val="16"/>
              </w:rPr>
            </w:pPr>
            <w:r>
              <w:rPr>
                <w:b w:val="0"/>
                <w:sz w:val="16"/>
              </w:rPr>
              <w:t>17 403 157,00 (P4)</w:t>
            </w:r>
          </w:p>
          <w:p>
            <w:pPr>
              <w:jc w:val="right"/>
              <w:rPr>
                <w:b w:val="0"/>
                <w:sz w:val="16"/>
              </w:rPr>
            </w:pPr>
            <w:r>
              <w:rPr>
                <w:b w:val="0"/>
                <w:sz w:val="16"/>
              </w:rPr>
              <w:t>2 037 500,00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1 223 334,00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36 388 991,00</w:t>
            </w:r>
            <w:r>
              <w:rPr>
                <w:b w:val="0"/>
                <w:sz w:val="16"/>
              </w:rPr>
              <w:br/>
            </w:r>
            <w:r>
              <w:rPr>
                <w:b w:val="0"/>
                <w:sz w:val="16"/>
              </w:rPr>
              <w:t>0,00</w:t>
            </w:r>
            <w:r>
              <w:rPr>
                <w:b w:val="0"/>
                <w:sz w:val="16"/>
              </w:rPr>
              <w:br/>
            </w:r>
            <w:r>
              <w:rPr>
                <w:b w:val="0"/>
                <w:sz w:val="16"/>
              </w:rPr>
              <w:t>36 388 991,00</w:t>
            </w:r>
          </w:p>
        </w:tc>
      </w:tr>
    </w:tbl>
    <w:p>
      <w:pPr>
        <w:pStyle w:val="Heading3"/>
        <w:jc w:val="left"/>
        <w:rPr>
          <w:b w:val="0"/>
        </w:rPr>
      </w:pPr>
      <w:r>
        <w:rPr>
          <w:b/>
        </w:rPr>
        <w:br w:type="page"/>
      </w:r>
      <w:bookmarkStart w:id="153" w:name="_Toc256000153"/>
      <w:r>
        <w:rPr>
          <w:b w:val="0"/>
        </w:rPr>
        <w:t>M09 — Създаване на групи и организации на производителите (член 27)</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8 384 852,00</w:t>
            </w:r>
            <w:r>
              <w:rPr>
                <w:b w:val="0"/>
                <w:sz w:val="16"/>
              </w:rPr>
              <w:br/>
            </w:r>
            <w:r>
              <w:rPr>
                <w:b w:val="0"/>
                <w:sz w:val="16"/>
              </w:rPr>
              <w:t>0,00</w:t>
            </w:r>
            <w:r>
              <w:rPr>
                <w:b w:val="0"/>
                <w:sz w:val="16"/>
              </w:rPr>
              <w:br/>
            </w:r>
            <w:r>
              <w:rPr>
                <w:b w:val="0"/>
                <w:sz w:val="16"/>
              </w:rPr>
              <w:t>8 384 852,00</w:t>
            </w:r>
          </w:p>
        </w:tc>
      </w:tr>
    </w:tbl>
    <w:p>
      <w:pPr>
        <w:pStyle w:val="Heading3"/>
        <w:jc w:val="left"/>
        <w:rPr>
          <w:b w:val="0"/>
        </w:rPr>
      </w:pPr>
      <w:r>
        <w:rPr>
          <w:b/>
        </w:rPr>
        <w:br w:type="page"/>
      </w:r>
      <w:bookmarkStart w:id="154" w:name="_Toc256000154"/>
      <w:r>
        <w:rPr>
          <w:b w:val="0"/>
        </w:rPr>
        <w:t>M10 — Агроекология и климат (член 28)</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174 022 462,00 (P4)</w:t>
            </w:r>
          </w:p>
          <w:p>
            <w:pPr>
              <w:jc w:val="right"/>
              <w:rPr>
                <w:b w:val="0"/>
                <w:sz w:val="16"/>
              </w:rPr>
            </w:pPr>
            <w:r>
              <w:rPr>
                <w:b w:val="0"/>
                <w:sz w:val="16"/>
              </w:rPr>
              <w:t>30 000 000,00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1 766 000,00 (P4)</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8 000 000,00 (P4)</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205 788 462,00</w:t>
            </w:r>
            <w:r>
              <w:rPr>
                <w:b w:val="0"/>
                <w:sz w:val="16"/>
              </w:rPr>
              <w:br/>
            </w:r>
            <w:r>
              <w:rPr>
                <w:b w:val="0"/>
                <w:sz w:val="16"/>
              </w:rPr>
              <w:t>8 000 000,00</w:t>
            </w:r>
            <w:r>
              <w:rPr>
                <w:b w:val="0"/>
                <w:sz w:val="16"/>
              </w:rPr>
              <w:br/>
            </w:r>
            <w:r>
              <w:rPr>
                <w:b w:val="0"/>
                <w:sz w:val="16"/>
              </w:rPr>
              <w:t>213 788 462,00</w:t>
            </w:r>
          </w:p>
        </w:tc>
      </w:tr>
    </w:tbl>
    <w:p>
      <w:pPr>
        <w:pStyle w:val="Heading3"/>
        <w:jc w:val="left"/>
        <w:rPr>
          <w:b w:val="0"/>
        </w:rPr>
      </w:pPr>
      <w:r>
        <w:rPr>
          <w:b/>
        </w:rPr>
        <w:br w:type="page"/>
      </w:r>
      <w:bookmarkStart w:id="155" w:name="_Toc256000155"/>
      <w:r>
        <w:rPr>
          <w:b w:val="0"/>
        </w:rPr>
        <w:t>М11 — Биологично земеделие (член 29)</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184 457 579,00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184 457 579,00</w:t>
            </w:r>
            <w:r>
              <w:rPr>
                <w:b w:val="0"/>
                <w:sz w:val="16"/>
              </w:rPr>
              <w:br/>
            </w:r>
            <w:r>
              <w:rPr>
                <w:b w:val="0"/>
                <w:sz w:val="16"/>
              </w:rPr>
              <w:t>0,00</w:t>
            </w:r>
            <w:r>
              <w:rPr>
                <w:b w:val="0"/>
                <w:sz w:val="16"/>
              </w:rPr>
              <w:br/>
            </w:r>
            <w:r>
              <w:rPr>
                <w:b w:val="0"/>
                <w:sz w:val="16"/>
              </w:rPr>
              <w:t>184 457 579,00</w:t>
            </w:r>
          </w:p>
        </w:tc>
      </w:tr>
    </w:tbl>
    <w:p>
      <w:pPr>
        <w:pStyle w:val="Heading3"/>
        <w:jc w:val="left"/>
        <w:rPr>
          <w:b w:val="0"/>
        </w:rPr>
      </w:pPr>
      <w:r>
        <w:rPr>
          <w:b/>
        </w:rPr>
        <w:br w:type="page"/>
      </w:r>
      <w:bookmarkStart w:id="156" w:name="_Toc256000156"/>
      <w:r>
        <w:rPr>
          <w:b w:val="0"/>
        </w:rPr>
        <w:t>M12 — Плащания по „Натура 2000“ и Рамковата директива за водите (член 30)</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153 507 028,00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153 507 028,00</w:t>
            </w:r>
            <w:r>
              <w:rPr>
                <w:b w:val="0"/>
                <w:sz w:val="16"/>
              </w:rPr>
              <w:br/>
            </w:r>
            <w:r>
              <w:rPr>
                <w:b w:val="0"/>
                <w:sz w:val="16"/>
              </w:rPr>
              <w:t>0,00</w:t>
            </w:r>
            <w:r>
              <w:rPr>
                <w:b w:val="0"/>
                <w:sz w:val="16"/>
              </w:rPr>
              <w:br/>
            </w: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7" w:name="_Toc256000157"/>
      <w:r>
        <w:rPr>
          <w:b w:val="0"/>
        </w:rPr>
        <w:t>М13 — Плащания за райони, изправени пред природни или други специфични ограничения (член 31)</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293 561 006,00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293 561 006,00</w:t>
            </w:r>
            <w:r>
              <w:rPr>
                <w:b w:val="0"/>
                <w:sz w:val="16"/>
              </w:rPr>
              <w:br/>
            </w:r>
            <w:r>
              <w:rPr>
                <w:b w:val="0"/>
                <w:sz w:val="16"/>
              </w:rPr>
              <w:t>0,00</w:t>
            </w:r>
            <w:r>
              <w:rPr>
                <w:b w:val="0"/>
                <w:sz w:val="16"/>
              </w:rPr>
              <w:br/>
            </w:r>
            <w:r>
              <w:rPr>
                <w:b w:val="0"/>
                <w:sz w:val="16"/>
              </w:rPr>
              <w:t>293 561 006,00</w:t>
            </w:r>
          </w:p>
        </w:tc>
      </w:tr>
    </w:tbl>
    <w:p>
      <w:pPr>
        <w:pStyle w:val="Heading3"/>
        <w:jc w:val="left"/>
        <w:rPr>
          <w:b w:val="0"/>
        </w:rPr>
      </w:pPr>
      <w:r>
        <w:rPr>
          <w:b/>
        </w:rPr>
        <w:br w:type="page"/>
      </w:r>
      <w:bookmarkStart w:id="158" w:name="_Toc256000158"/>
      <w:r>
        <w:rPr>
          <w:b w:val="0"/>
        </w:rPr>
        <w:t>M14 — Хуманно отношение към животните (член 33)</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21 081 806,00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21 081 806,00</w:t>
            </w:r>
            <w:r>
              <w:rPr>
                <w:b w:val="0"/>
                <w:sz w:val="16"/>
              </w:rPr>
              <w:br/>
            </w:r>
            <w:r>
              <w:rPr>
                <w:b w:val="0"/>
                <w:sz w:val="16"/>
              </w:rPr>
              <w:t>0,00</w:t>
            </w:r>
            <w:r>
              <w:rPr>
                <w:b w:val="0"/>
                <w:sz w:val="16"/>
              </w:rPr>
              <w:br/>
            </w:r>
            <w:r>
              <w:rPr>
                <w:b w:val="0"/>
                <w:sz w:val="16"/>
              </w:rPr>
              <w:t>21 081 806,00</w:t>
            </w:r>
          </w:p>
        </w:tc>
      </w:tr>
    </w:tbl>
    <w:p>
      <w:pPr>
        <w:pStyle w:val="Heading3"/>
        <w:jc w:val="left"/>
        <w:rPr>
          <w:b w:val="0"/>
        </w:rPr>
      </w:pPr>
      <w:r>
        <w:rPr>
          <w:b/>
        </w:rPr>
        <w:br w:type="page"/>
      </w:r>
      <w:bookmarkStart w:id="159" w:name="_Toc256000159"/>
      <w:r>
        <w:rPr>
          <w:b w:val="0"/>
        </w:rPr>
        <w:t>M16 — Сътрудничество (член 35)</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12 950 000,00 (2A)</w:t>
            </w:r>
          </w:p>
          <w:p>
            <w:pPr>
              <w:jc w:val="right"/>
              <w:rPr>
                <w:b w:val="0"/>
                <w:sz w:val="16"/>
              </w:rPr>
            </w:pPr>
            <w:r>
              <w:rPr>
                <w:b w:val="0"/>
                <w:sz w:val="16"/>
              </w:rPr>
              <w:t>1 850 000,00 (3A)</w:t>
            </w:r>
          </w:p>
          <w:p>
            <w:pPr>
              <w:jc w:val="right"/>
              <w:rPr>
                <w:b w:val="0"/>
                <w:sz w:val="16"/>
              </w:rPr>
            </w:pPr>
            <w:r>
              <w:rPr>
                <w:b w:val="0"/>
                <w:sz w:val="16"/>
              </w:rPr>
              <w:t>5 400 000,00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25 200 000,00</w:t>
            </w:r>
            <w:r>
              <w:rPr>
                <w:b w:val="0"/>
                <w:sz w:val="16"/>
              </w:rPr>
              <w:br/>
            </w:r>
            <w:r>
              <w:rPr>
                <w:b w:val="0"/>
                <w:sz w:val="16"/>
              </w:rPr>
              <w:t>0,00</w:t>
            </w:r>
            <w:r>
              <w:rPr>
                <w:b w:val="0"/>
                <w:sz w:val="16"/>
              </w:rPr>
              <w:br/>
            </w:r>
            <w:r>
              <w:rPr>
                <w:b w:val="0"/>
                <w:sz w:val="16"/>
              </w:rPr>
              <w:t>25 200 000,00</w:t>
            </w:r>
          </w:p>
        </w:tc>
      </w:tr>
    </w:tbl>
    <w:p>
      <w:pPr>
        <w:pStyle w:val="Heading3"/>
        <w:jc w:val="left"/>
        <w:rPr>
          <w:b w:val="0"/>
        </w:rPr>
      </w:pPr>
      <w:r>
        <w:rPr>
          <w:b/>
        </w:rPr>
        <w:br w:type="page"/>
      </w:r>
      <w:bookmarkStart w:id="160" w:name="_Toc256000160"/>
      <w:r>
        <w:rPr>
          <w:b w:val="0"/>
        </w:rPr>
        <w:t>M19 — Подкрепа за местно развитие по LEADER (ВОМР — водено от общностите местно развитие) (член 35 от Регламент (ЕС) № 1303/2013)</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2 500 000,00</w:t>
            </w:r>
          </w:p>
        </w:tc>
        <w:tc>
          <w:tcPr>
            <w:tcW w:w="2400" w:type="dxa"/>
            <w:shd w:val="clear" w:color="auto" w:fill="FFFFFF"/>
            <w:noWrap w:val="0"/>
            <w:tcMar>
              <w:top w:w="60" w:type="dxa"/>
            </w:tcMar>
            <w:vAlign w:val="top"/>
          </w:tcPr>
          <w:p>
            <w:pPr>
              <w:jc w:val="right"/>
              <w:rPr>
                <w:b w:val="0"/>
                <w:sz w:val="16"/>
              </w:rPr>
            </w:pPr>
            <w:r>
              <w:rPr>
                <w:b w:val="0"/>
                <w:sz w:val="16"/>
              </w:rPr>
              <w:t>152 173 496,00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100 000,00 (6B)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2 500 000,00</w:t>
            </w:r>
            <w:r>
              <w:rPr>
                <w:b w:val="0"/>
                <w:sz w:val="16"/>
              </w:rPr>
              <w:br/>
            </w:r>
            <w:r>
              <w:rPr>
                <w:b w:val="0"/>
                <w:sz w:val="16"/>
              </w:rPr>
              <w:t>0,00</w:t>
            </w:r>
            <w:r>
              <w:rPr>
                <w:b w:val="0"/>
                <w:sz w:val="16"/>
              </w:rPr>
              <w:br/>
            </w:r>
            <w:r>
              <w:rPr>
                <w:b w:val="0"/>
                <w:sz w:val="16"/>
              </w:rPr>
              <w:t>2 500 000,00</w:t>
            </w:r>
          </w:p>
        </w:tc>
        <w:tc>
          <w:tcPr>
            <w:tcW w:w="2400" w:type="dxa"/>
            <w:shd w:val="clear" w:color="auto" w:fill="C0C0C0"/>
            <w:noWrap w:val="0"/>
            <w:tcMar>
              <w:top w:w="60" w:type="dxa"/>
            </w:tcMar>
            <w:vAlign w:val="top"/>
          </w:tcPr>
          <w:p>
            <w:pPr>
              <w:jc w:val="right"/>
              <w:rPr>
                <w:b w:val="0"/>
                <w:sz w:val="16"/>
              </w:rPr>
            </w:pPr>
            <w:r>
              <w:rPr>
                <w:b w:val="0"/>
                <w:sz w:val="16"/>
              </w:rPr>
              <w:t>152 273 496,00</w:t>
            </w:r>
            <w:r>
              <w:rPr>
                <w:b w:val="0"/>
                <w:sz w:val="16"/>
              </w:rPr>
              <w:br/>
            </w:r>
            <w:r>
              <w:rPr>
                <w:b w:val="0"/>
                <w:sz w:val="16"/>
              </w:rPr>
              <w:t>0,00</w:t>
            </w:r>
            <w:r>
              <w:rPr>
                <w:b w:val="0"/>
                <w:sz w:val="16"/>
              </w:rPr>
              <w:br/>
            </w:r>
            <w:r>
              <w:rPr>
                <w:b w:val="0"/>
                <w:sz w:val="16"/>
              </w:rPr>
              <w:t>152 273 496,00</w:t>
            </w:r>
          </w:p>
        </w:tc>
      </w:tr>
    </w:tbl>
    <w:p>
      <w:pPr>
        <w:pStyle w:val="Heading3"/>
        <w:jc w:val="left"/>
        <w:rPr>
          <w:b w:val="0"/>
        </w:rPr>
      </w:pPr>
      <w:r>
        <w:rPr>
          <w:b/>
        </w:rPr>
        <w:br w:type="page"/>
      </w:r>
      <w:bookmarkStart w:id="161" w:name="_Toc256000161"/>
      <w:r>
        <w:rPr>
          <w:b w:val="0"/>
        </w:rPr>
        <w:t>М20 — Техническа помощ държави членки (членове 51 — 54)</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47 156 074,00</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47 156 074,00</w:t>
            </w:r>
            <w:r>
              <w:rPr>
                <w:b w:val="0"/>
                <w:sz w:val="16"/>
              </w:rPr>
              <w:br/>
            </w:r>
            <w:r>
              <w:rPr>
                <w:b w:val="0"/>
                <w:sz w:val="16"/>
              </w:rPr>
              <w:t>0,00</w:t>
            </w:r>
            <w:r>
              <w:rPr>
                <w:b w:val="0"/>
                <w:sz w:val="16"/>
              </w:rPr>
              <w:br/>
            </w:r>
            <w:r>
              <w:rPr>
                <w:b w:val="0"/>
                <w:sz w:val="16"/>
              </w:rPr>
              <w:t>47 156 074,00</w:t>
            </w:r>
          </w:p>
        </w:tc>
      </w:tr>
    </w:tbl>
    <w:p>
      <w:pPr>
        <w:pStyle w:val="Heading3"/>
        <w:jc w:val="left"/>
        <w:rPr>
          <w:b w:val="0"/>
        </w:rPr>
      </w:pPr>
      <w:r>
        <w:rPr>
          <w:b/>
        </w:rPr>
        <w:br w:type="page"/>
      </w:r>
      <w:bookmarkStart w:id="162" w:name="_Toc256000162"/>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37 792 655,00 (2A)</w:t>
            </w:r>
          </w:p>
          <w:p>
            <w:pPr>
              <w:jc w:val="right"/>
              <w:rPr>
                <w:b w:val="0"/>
                <w:sz w:val="16"/>
              </w:rPr>
            </w:pPr>
            <w:r>
              <w:rPr>
                <w:b w:val="0"/>
                <w:sz w:val="16"/>
              </w:rPr>
              <w:t>3 315 000,00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41 107 655,00</w:t>
            </w:r>
            <w:r>
              <w:rPr>
                <w:b w:val="0"/>
                <w:sz w:val="16"/>
              </w:rPr>
              <w:br/>
            </w:r>
            <w:r>
              <w:rPr>
                <w:b w:val="0"/>
                <w:sz w:val="16"/>
              </w:rPr>
              <w:t>0,00</w:t>
            </w:r>
            <w:r>
              <w:rPr>
                <w:b w:val="0"/>
                <w:sz w:val="16"/>
              </w:rPr>
              <w:br/>
            </w:r>
            <w:r>
              <w:rPr>
                <w:b w:val="0"/>
                <w:sz w:val="16"/>
              </w:rPr>
              <w:t>41 107 655,00</w:t>
            </w:r>
          </w:p>
        </w:tc>
      </w:tr>
    </w:tbl>
    <w:p>
      <w:pPr>
        <w:rPr>
          <w:b/>
        </w:rPr>
        <w:sectPr>
          <w:pgSz w:w="15840" w:h="12240" w:orient="landscape"/>
          <w:pgMar w:top="900" w:right="900" w:bottom="900" w:left="900" w:header="720" w:footer="720"/>
          <w:cols w:space="720"/>
        </w:sectPr>
      </w:pPr>
    </w:p>
    <w:p>
      <w:pPr>
        <w:pStyle w:val="Heading2"/>
      </w:pPr>
      <w:bookmarkStart w:id="163" w:name="_Toc256000163"/>
      <w:r>
        <w:t>Ориентировъчна разбивка по мярка за всяка подпрограма</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400" w:type="dxa"/>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2400" w:type="dxa"/>
            <w:shd w:val="clear" w:color="auto" w:fill="C0C0C0"/>
            <w:noWrap w:val="0"/>
            <w:tcMar>
              <w:top w:w="60" w:type="dxa"/>
            </w:tcMar>
            <w:vAlign w:val="top"/>
          </w:tcPr>
          <w:p>
            <w:pPr>
              <w:jc w:val="center"/>
              <w:rPr>
                <w:b w:val="0"/>
                <w:sz w:val="16"/>
              </w:rPr>
            </w:pPr>
            <w:r>
              <w:rPr>
                <w:b w:val="0"/>
                <w:sz w:val="16"/>
              </w:rPr>
              <w:t>Мярка</w:t>
            </w:r>
          </w:p>
        </w:tc>
        <w:tc>
          <w:tcPr>
            <w:tcW w:w="2400" w:type="dxa"/>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2014—2022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14 937 966,00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4 760 000,00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78 822 416,00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4" w:name="_Toc256000164"/>
      <w:r>
        <w:t>План на показателите</w:t>
      </w:r>
      <w:bookmarkEnd w:id="164"/>
    </w:p>
    <w:p>
      <w:pPr>
        <w:pStyle w:val="Heading2"/>
      </w:pPr>
      <w:bookmarkStart w:id="165" w:name="_Toc256000165"/>
      <w:r>
        <w:t>План на показателите</w:t>
      </w:r>
      <w:bookmarkEnd w:id="165"/>
    </w:p>
    <w:p>
      <w:pPr>
        <w:pStyle w:val="Heading3"/>
        <w:jc w:val="left"/>
        <w:rPr>
          <w:b w:val="0"/>
        </w:rPr>
      </w:pPr>
      <w:bookmarkStart w:id="166" w:name="_Toc256000166"/>
      <w:r>
        <w:rPr>
          <w:b w:val="0"/>
        </w:rPr>
        <w:t>P1: Стимулиране на трансфера на знания и иновациите в областта на селското и горското стопанство и селските райони</w:t>
      </w:r>
      <w:bookmarkEnd w:id="166"/>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2 895 255 368,00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22 999 999,40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20 828 609,50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28 000 000,10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750" w:type="pct"/>
            <w:shd w:val="clear" w:color="auto" w:fill="FFFFFF"/>
            <w:noWrap w:val="0"/>
            <w:tcMar>
              <w:top w:w="60" w:type="dxa"/>
            </w:tcMar>
            <w:vAlign w:val="center"/>
          </w:tcPr>
          <w:p>
            <w:pPr>
              <w:spacing w:before="20" w:after="20"/>
              <w:jc w:val="right"/>
              <w:rPr>
                <w:b w:val="0"/>
                <w:sz w:val="16"/>
              </w:rPr>
            </w:pPr>
            <w:r>
              <w:rPr>
                <w:b w:val="0"/>
                <w:sz w:val="16"/>
              </w:rPr>
              <w:t>450,00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4 800,00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7" w:name="_Toc25600016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7"/>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0,54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8 460,00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9 595 431,80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750" w:type="pct"/>
            <w:shd w:val="clear" w:color="auto" w:fill="FFFFFF"/>
            <w:noWrap w:val="0"/>
            <w:tcMar>
              <w:top w:w="60" w:type="dxa"/>
            </w:tcMar>
            <w:vAlign w:val="center"/>
          </w:tcPr>
          <w:p>
            <w:pPr>
              <w:spacing w:before="20" w:after="20"/>
              <w:jc w:val="right"/>
              <w:rPr>
                <w:b w:val="0"/>
                <w:sz w:val="16"/>
              </w:rPr>
            </w:pPr>
            <w:r>
              <w:rPr>
                <w:b w:val="0"/>
                <w:sz w:val="16"/>
              </w:rPr>
              <w:t>29 965 859,90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559 165 890,30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750" w:type="pct"/>
            <w:shd w:val="clear" w:color="auto" w:fill="FFFFFF"/>
            <w:noWrap w:val="0"/>
            <w:tcMar>
              <w:top w:w="60" w:type="dxa"/>
            </w:tcMar>
            <w:vAlign w:val="center"/>
          </w:tcPr>
          <w:p>
            <w:pPr>
              <w:spacing w:before="20" w:after="20"/>
              <w:jc w:val="right"/>
              <w:rPr>
                <w:b w:val="0"/>
                <w:sz w:val="16"/>
              </w:rPr>
            </w:pPr>
            <w:r>
              <w:rPr>
                <w:b w:val="0"/>
                <w:sz w:val="16"/>
              </w:rPr>
              <w:t>4 400,00</w:t>
            </w:r>
          </w:p>
        </w:tc>
        <w:tc>
          <w:tcPr>
            <w:tcW w:w="750" w:type="pct"/>
            <w:shd w:val="clear" w:color="auto" w:fill="FFFFFF"/>
            <w:noWrap w:val="0"/>
            <w:tcMar>
              <w:top w:w="60" w:type="dxa"/>
            </w:tcMar>
            <w:vAlign w:val="center"/>
          </w:tcPr>
          <w:p>
            <w:pPr>
              <w:spacing w:before="20" w:after="20"/>
              <w:jc w:val="right"/>
              <w:rPr>
                <w:b w:val="0"/>
                <w:sz w:val="16"/>
              </w:rPr>
            </w:pPr>
            <w:r>
              <w:rPr>
                <w:b w:val="0"/>
                <w:sz w:val="16"/>
              </w:rPr>
              <w:t>1 300,00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14 388 889,00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44 461 947,40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1,00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3 700,00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900,00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3 254 531,80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750" w:type="pct"/>
            <w:shd w:val="clear" w:color="auto" w:fill="FFFFFF"/>
            <w:noWrap w:val="0"/>
            <w:tcMar>
              <w:top w:w="60" w:type="dxa"/>
            </w:tcMar>
            <w:vAlign w:val="center"/>
          </w:tcPr>
          <w:p>
            <w:pPr>
              <w:spacing w:before="20" w:after="20"/>
              <w:jc w:val="right"/>
              <w:rPr>
                <w:b w:val="0"/>
                <w:sz w:val="16"/>
              </w:rPr>
            </w:pPr>
            <w:r>
              <w:rPr>
                <w:b w:val="0"/>
                <w:sz w:val="16"/>
              </w:rPr>
              <w:t>260,00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140 088 285,80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84 052 971,50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750" w:type="pct"/>
            <w:shd w:val="clear" w:color="auto" w:fill="FFFFFF"/>
            <w:noWrap w:val="0"/>
            <w:tcMar>
              <w:top w:w="60" w:type="dxa"/>
            </w:tcMar>
            <w:vAlign w:val="center"/>
          </w:tcPr>
          <w:p>
            <w:pPr>
              <w:spacing w:before="20" w:after="20"/>
              <w:jc w:val="right"/>
              <w:rPr>
                <w:b w:val="0"/>
                <w:sz w:val="16"/>
              </w:rPr>
            </w:pPr>
            <w:r>
              <w:rPr>
                <w:b w:val="0"/>
                <w:sz w:val="16"/>
              </w:rPr>
              <w:t>3 700,00</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18 500 000,00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3"/>
        <w:jc w:val="left"/>
        <w:rPr>
          <w:b w:val="0"/>
        </w:rPr>
      </w:pPr>
      <w:bookmarkStart w:id="168" w:name="_Toc25600016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8"/>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0,04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145,00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3 400,00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903 715,30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750" w:type="pct"/>
            <w:shd w:val="clear" w:color="auto" w:fill="FFFFFF"/>
            <w:noWrap w:val="0"/>
            <w:tcMar>
              <w:top w:w="60" w:type="dxa"/>
            </w:tcMar>
            <w:vAlign w:val="center"/>
          </w:tcPr>
          <w:p>
            <w:pPr>
              <w:spacing w:before="20" w:after="20"/>
              <w:jc w:val="right"/>
              <w:rPr>
                <w:b w:val="0"/>
                <w:sz w:val="16"/>
              </w:rPr>
            </w:pPr>
            <w:r>
              <w:rPr>
                <w:b w:val="0"/>
                <w:sz w:val="16"/>
              </w:rPr>
              <w:t>330,00</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782 052 716,60</w:t>
            </w:r>
          </w:p>
        </w:tc>
        <w:tc>
          <w:tcPr>
            <w:tcW w:w="750" w:type="pct"/>
            <w:shd w:val="clear" w:color="auto" w:fill="FFFFFF"/>
            <w:noWrap w:val="0"/>
            <w:tcMar>
              <w:top w:w="60" w:type="dxa"/>
            </w:tcMar>
            <w:vAlign w:val="center"/>
          </w:tcPr>
          <w:p>
            <w:pPr>
              <w:spacing w:before="20" w:after="20"/>
              <w:jc w:val="right"/>
              <w:rPr>
                <w:b w:val="0"/>
                <w:sz w:val="16"/>
              </w:rPr>
            </w:pPr>
            <w:r>
              <w:rPr>
                <w:b w:val="0"/>
                <w:sz w:val="16"/>
              </w:rPr>
              <w:t>145 233 722,00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391 194 274,90</w:t>
            </w:r>
          </w:p>
        </w:tc>
        <w:tc>
          <w:tcPr>
            <w:tcW w:w="750" w:type="pct"/>
            <w:shd w:val="clear" w:color="auto" w:fill="FFFFFF"/>
            <w:noWrap w:val="0"/>
            <w:tcMar>
              <w:top w:w="60" w:type="dxa"/>
            </w:tcMar>
            <w:vAlign w:val="center"/>
          </w:tcPr>
          <w:p>
            <w:pPr>
              <w:spacing w:before="20" w:after="20"/>
              <w:jc w:val="right"/>
              <w:rPr>
                <w:b w:val="0"/>
                <w:sz w:val="16"/>
              </w:rPr>
            </w:pPr>
            <w:r>
              <w:rPr>
                <w:b w:val="0"/>
                <w:sz w:val="16"/>
              </w:rPr>
              <w:t>72 616 861,00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750" w:type="pct"/>
            <w:shd w:val="clear" w:color="auto" w:fill="FFFFFF"/>
            <w:noWrap w:val="0"/>
            <w:tcMar>
              <w:top w:w="60" w:type="dxa"/>
            </w:tcMar>
            <w:vAlign w:val="center"/>
          </w:tcPr>
          <w:p>
            <w:pPr>
              <w:spacing w:before="20" w:after="20"/>
              <w:jc w:val="right"/>
              <w:rPr>
                <w:b w:val="0"/>
                <w:sz w:val="16"/>
              </w:rPr>
            </w:pPr>
            <w:r>
              <w:rPr>
                <w:b w:val="0"/>
                <w:sz w:val="16"/>
              </w:rPr>
              <w:t>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9 316 502,00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24 802 124,70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2 055 555,60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469 715,30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750" w:type="pct"/>
            <w:shd w:val="clear" w:color="auto" w:fill="FFFFFF"/>
            <w:noWrap w:val="0"/>
            <w:tcMar>
              <w:top w:w="60" w:type="dxa"/>
            </w:tcMar>
            <w:vAlign w:val="center"/>
          </w:tcPr>
          <w:p>
            <w:pPr>
              <w:spacing w:before="20" w:after="20"/>
              <w:jc w:val="right"/>
              <w:rPr>
                <w:b w:val="0"/>
                <w:sz w:val="16"/>
              </w:rPr>
            </w:pPr>
            <w:r>
              <w:rPr>
                <w:b w:val="0"/>
                <w:sz w:val="16"/>
              </w:rPr>
              <w:t>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750" w:type="pct"/>
            <w:shd w:val="clear" w:color="auto" w:fill="FFFFFF"/>
            <w:noWrap w:val="0"/>
            <w:tcMar>
              <w:top w:w="60" w:type="dxa"/>
            </w:tcMar>
            <w:vAlign w:val="center"/>
          </w:tcPr>
          <w:p>
            <w:pPr>
              <w:spacing w:before="20" w:after="20"/>
              <w:jc w:val="right"/>
              <w:rPr>
                <w:b w:val="0"/>
                <w:sz w:val="16"/>
              </w:rPr>
            </w:pPr>
            <w:r>
              <w:rPr>
                <w:b w:val="0"/>
                <w:sz w:val="16"/>
              </w:rPr>
              <w:t>27 489 337,00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750" w:type="pct"/>
            <w:shd w:val="clear" w:color="auto" w:fill="FFFFFF"/>
            <w:noWrap w:val="0"/>
            <w:tcMar>
              <w:top w:w="60" w:type="dxa"/>
            </w:tcMar>
            <w:vAlign w:val="center"/>
          </w:tcPr>
          <w:p>
            <w:pPr>
              <w:spacing w:before="20" w:after="20"/>
              <w:jc w:val="right"/>
              <w:rPr>
                <w:b w:val="0"/>
                <w:sz w:val="16"/>
              </w:rPr>
            </w:pPr>
            <w:r>
              <w:rPr>
                <w:b w:val="0"/>
                <w:sz w:val="16"/>
              </w:rPr>
              <w:t>27 589 337,00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9" w:name="_Toc256000169"/>
      <w:r>
        <w:rPr>
          <w:b w:val="0"/>
        </w:rPr>
        <w:t>P4: Възстановяване, опазване и укрепване на екосистемите, свързани със селското и горското стопанство</w:t>
      </w:r>
      <w:bookmarkEnd w:id="169"/>
    </w:p>
    <w:p>
      <w:pPr>
        <w:rPr>
          <w:b/>
          <w:i/>
        </w:rPr>
      </w:pPr>
      <w:r>
        <w:rPr>
          <w:b/>
          <w:i/>
        </w:rPr>
        <w:t>Селско стопанство</w:t>
      </w: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3 505 404,40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2 313 178,80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750" w:type="pct"/>
            <w:shd w:val="clear" w:color="auto" w:fill="FFFFFF"/>
            <w:noWrap w:val="0"/>
            <w:tcMar>
              <w:top w:w="60" w:type="dxa"/>
            </w:tcMar>
            <w:vAlign w:val="center"/>
          </w:tcPr>
          <w:p>
            <w:pPr>
              <w:spacing w:before="20" w:after="20"/>
              <w:jc w:val="right"/>
              <w:rPr>
                <w:b w:val="0"/>
                <w:sz w:val="16"/>
              </w:rPr>
            </w:pPr>
            <w:r>
              <w:rPr>
                <w:b w:val="0"/>
                <w:sz w:val="16"/>
              </w:rPr>
              <w:t>280,00</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58 263 917,20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34 958 350,30</w:t>
            </w:r>
          </w:p>
        </w:tc>
        <w:tc>
          <w:tcPr>
            <w:tcW w:w="750" w:type="pct"/>
            <w:shd w:val="clear" w:color="auto" w:fill="FFFFFF"/>
            <w:noWrap w:val="0"/>
            <w:tcMar>
              <w:top w:w="60" w:type="dxa"/>
            </w:tcMar>
            <w:vAlign w:val="center"/>
          </w:tcPr>
          <w:p>
            <w:pPr>
              <w:spacing w:before="20" w:after="20"/>
              <w:jc w:val="right"/>
              <w:rPr>
                <w:b w:val="0"/>
                <w:sz w:val="16"/>
              </w:rPr>
            </w:pPr>
            <w:r>
              <w:rPr>
                <w:b w:val="0"/>
                <w:sz w:val="16"/>
              </w:rPr>
              <w:t>19 734 231,00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750" w:type="pct"/>
            <w:shd w:val="clear" w:color="auto" w:fill="FFFFFF"/>
            <w:noWrap w:val="0"/>
            <w:tcMar>
              <w:top w:w="60" w:type="dxa"/>
            </w:tcMar>
            <w:vAlign w:val="center"/>
          </w:tcPr>
          <w:p>
            <w:pPr>
              <w:spacing w:before="20" w:after="20"/>
              <w:jc w:val="right"/>
              <w:rPr>
                <w:b w:val="0"/>
                <w:sz w:val="16"/>
              </w:rPr>
            </w:pPr>
            <w:r>
              <w:rPr>
                <w:b w:val="0"/>
                <w:sz w:val="16"/>
              </w:rPr>
              <w:t>113 000,00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242 384 616,00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750" w:type="pct"/>
            <w:shd w:val="clear" w:color="auto" w:fill="FFFFFF"/>
            <w:noWrap w:val="0"/>
            <w:tcMar>
              <w:top w:w="60" w:type="dxa"/>
            </w:tcMar>
            <w:vAlign w:val="center"/>
          </w:tcPr>
          <w:p>
            <w:pPr>
              <w:spacing w:before="20" w:after="20"/>
              <w:jc w:val="right"/>
              <w:rPr>
                <w:b w:val="0"/>
                <w:sz w:val="16"/>
              </w:rPr>
            </w:pPr>
            <w:r>
              <w:rPr>
                <w:b w:val="0"/>
                <w:sz w:val="16"/>
              </w:rPr>
              <w:t>23 000,00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245 943 439,00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750" w:type="pct"/>
            <w:shd w:val="clear" w:color="auto" w:fill="FFFFFF"/>
            <w:noWrap w:val="0"/>
            <w:tcMar>
              <w:top w:w="60" w:type="dxa"/>
            </w:tcMar>
            <w:vAlign w:val="center"/>
          </w:tcPr>
          <w:p>
            <w:pPr>
              <w:spacing w:before="20" w:after="20"/>
              <w:jc w:val="right"/>
              <w:rPr>
                <w:b w:val="0"/>
                <w:sz w:val="16"/>
              </w:rPr>
            </w:pPr>
            <w:r>
              <w:rPr>
                <w:b w:val="0"/>
                <w:sz w:val="16"/>
              </w:rPr>
              <w:t>385 000,00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750" w:type="pct"/>
            <w:shd w:val="clear" w:color="auto" w:fill="FFFFFF"/>
            <w:noWrap w:val="0"/>
            <w:tcMar>
              <w:top w:w="60" w:type="dxa"/>
            </w:tcMar>
            <w:vAlign w:val="center"/>
          </w:tcPr>
          <w:p>
            <w:pPr>
              <w:spacing w:before="20" w:after="20"/>
              <w:jc w:val="right"/>
              <w:rPr>
                <w:b w:val="0"/>
                <w:sz w:val="16"/>
              </w:rPr>
            </w:pPr>
            <w:r>
              <w:rPr>
                <w:b w:val="0"/>
                <w:sz w:val="16"/>
              </w:rPr>
              <w:t>60 000,00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202 805 011,00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750" w:type="pct"/>
            <w:shd w:val="clear" w:color="auto" w:fill="FFFFFF"/>
            <w:noWrap w:val="0"/>
            <w:tcMar>
              <w:top w:w="60" w:type="dxa"/>
            </w:tcMar>
            <w:vAlign w:val="center"/>
          </w:tcPr>
          <w:p>
            <w:pPr>
              <w:spacing w:before="20" w:after="20"/>
              <w:jc w:val="right"/>
              <w:rPr>
                <w:b w:val="0"/>
                <w:sz w:val="16"/>
              </w:rPr>
            </w:pPr>
            <w:r>
              <w:rPr>
                <w:b w:val="0"/>
                <w:sz w:val="16"/>
              </w:rPr>
              <w:t>310 000,00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750" w:type="pct"/>
            <w:shd w:val="clear" w:color="auto" w:fill="FFFFFF"/>
            <w:noWrap w:val="0"/>
            <w:tcMar>
              <w:top w:w="60" w:type="dxa"/>
            </w:tcMar>
            <w:vAlign w:val="center"/>
          </w:tcPr>
          <w:p>
            <w:pPr>
              <w:spacing w:before="20" w:after="20"/>
              <w:jc w:val="right"/>
              <w:rPr>
                <w:b w:val="0"/>
                <w:sz w:val="16"/>
              </w:rPr>
            </w:pPr>
            <w:r>
              <w:rPr>
                <w:b w:val="0"/>
                <w:sz w:val="16"/>
              </w:rPr>
              <w:t>220 000,00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391 414 674,70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6 000 000,00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rPr>
          <w:b/>
          <w:i/>
        </w:rPr>
      </w:pPr>
      <w:r>
        <w:rPr>
          <w:b/>
          <w:i/>
        </w:rPr>
        <w:t>Горско стопанство</w:t>
      </w: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20 474 302,40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1 871 026,70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0" w:name="_Toc25600017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0"/>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348 412,90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750" w:type="pct"/>
            <w:shd w:val="clear" w:color="auto" w:fill="FFFFFF"/>
            <w:noWrap w:val="0"/>
            <w:tcMar>
              <w:top w:w="60" w:type="dxa"/>
            </w:tcMar>
            <w:vAlign w:val="center"/>
          </w:tcPr>
          <w:p>
            <w:pPr>
              <w:spacing w:before="20" w:after="20"/>
              <w:jc w:val="right"/>
              <w:rPr>
                <w:b w:val="0"/>
                <w:sz w:val="16"/>
              </w:rPr>
            </w:pPr>
            <w:r>
              <w:rPr>
                <w:b w:val="0"/>
                <w:sz w:val="16"/>
              </w:rPr>
              <w:t>35 000,00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419 024 651,40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1 050,00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500,00</w:t>
            </w:r>
          </w:p>
        </w:tc>
        <w:tc>
          <w:tcPr>
            <w:tcW w:w="750" w:type="pct"/>
            <w:shd w:val="clear" w:color="auto" w:fill="FFFFFF"/>
            <w:noWrap w:val="0"/>
            <w:tcMar>
              <w:top w:w="60" w:type="dxa"/>
            </w:tcMar>
            <w:vAlign w:val="center"/>
          </w:tcPr>
          <w:p>
            <w:pPr>
              <w:spacing w:before="20" w:after="20"/>
              <w:jc w:val="right"/>
              <w:rPr>
                <w:b w:val="0"/>
                <w:sz w:val="16"/>
              </w:rPr>
            </w:pPr>
            <w:r>
              <w:rPr>
                <w:b w:val="0"/>
                <w:sz w:val="16"/>
              </w:rPr>
              <w:t>55,00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419 024 651,40</w:t>
            </w:r>
          </w:p>
        </w:tc>
        <w:tc>
          <w:tcPr>
            <w:tcW w:w="750" w:type="pct"/>
            <w:shd w:val="clear" w:color="auto" w:fill="FFFFFF"/>
            <w:noWrap w:val="0"/>
            <w:tcMar>
              <w:top w:w="60" w:type="dxa"/>
            </w:tcMar>
            <w:vAlign w:val="center"/>
          </w:tcPr>
          <w:p>
            <w:pPr>
              <w:spacing w:before="20" w:after="20"/>
              <w:jc w:val="right"/>
              <w:rPr>
                <w:b w:val="0"/>
                <w:sz w:val="16"/>
              </w:rPr>
            </w:pPr>
            <w:r>
              <w:rPr>
                <w:b w:val="0"/>
                <w:sz w:val="16"/>
              </w:rPr>
              <w:t>73 971 538,00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233 605 405,00</w:t>
            </w:r>
          </w:p>
        </w:tc>
        <w:tc>
          <w:tcPr>
            <w:tcW w:w="750" w:type="pct"/>
            <w:shd w:val="clear" w:color="auto" w:fill="FFFFFF"/>
            <w:noWrap w:val="0"/>
            <w:tcMar>
              <w:top w:w="60" w:type="dxa"/>
            </w:tcMar>
            <w:vAlign w:val="center"/>
          </w:tcPr>
          <w:p>
            <w:pPr>
              <w:spacing w:before="20" w:after="20"/>
              <w:jc w:val="right"/>
              <w:rPr>
                <w:b w:val="0"/>
                <w:sz w:val="16"/>
              </w:rPr>
            </w:pPr>
            <w:r>
              <w:rPr>
                <w:b w:val="0"/>
                <w:sz w:val="16"/>
              </w:rPr>
              <w:t>36 985 769,00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154 266 117,00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84 266 116,90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42 829 679,00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120,00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3 694 595,00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2 177 766,10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1 306 660,00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750" w:type="pct"/>
            <w:shd w:val="clear" w:color="auto" w:fill="FFFFFF"/>
            <w:noWrap w:val="0"/>
            <w:tcMar>
              <w:top w:w="60" w:type="dxa"/>
            </w:tcMar>
            <w:vAlign w:val="center"/>
          </w:tcPr>
          <w:p>
            <w:pPr>
              <w:spacing w:before="20" w:after="20"/>
              <w:jc w:val="right"/>
              <w:rPr>
                <w:b w:val="0"/>
                <w:sz w:val="16"/>
              </w:rPr>
            </w:pPr>
            <w:r>
              <w:rPr>
                <w:b w:val="0"/>
                <w:sz w:val="16"/>
              </w:rPr>
              <w:t>7 000,00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230,00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750" w:type="pct"/>
            <w:shd w:val="clear" w:color="auto" w:fill="FFFFFF"/>
            <w:noWrap w:val="0"/>
            <w:tcMar>
              <w:top w:w="60" w:type="dxa"/>
            </w:tcMar>
            <w:vAlign w:val="center"/>
          </w:tcPr>
          <w:p>
            <w:pPr>
              <w:spacing w:before="20" w:after="20"/>
              <w:jc w:val="right"/>
              <w:rPr>
                <w:b w:val="0"/>
                <w:sz w:val="16"/>
              </w:rPr>
            </w:pPr>
            <w:r>
              <w:rPr>
                <w:b w:val="0"/>
                <w:sz w:val="16"/>
              </w:rPr>
              <w:t>230,00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1 631 112,00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2 397 058,80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1" w:name="_Toc256000171"/>
      <w:r>
        <w:rPr>
          <w:b w:val="0"/>
        </w:rPr>
        <w:t>P6: Насърчаване на социалното приобщаване, намаляването на бедността и икономическото развитие в селските райони</w:t>
      </w:r>
      <w:bookmarkEnd w:id="171"/>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3 500,00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630,00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159 053 722,40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79 526 861,20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3 899 999,90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190,00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660,00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750" w:type="pct"/>
            <w:shd w:val="clear" w:color="auto" w:fill="FFFFFF"/>
            <w:noWrap w:val="0"/>
            <w:tcMar>
              <w:top w:w="60" w:type="dxa"/>
            </w:tcMar>
            <w:vAlign w:val="center"/>
          </w:tcPr>
          <w:p>
            <w:pPr>
              <w:spacing w:before="20" w:after="20"/>
              <w:jc w:val="right"/>
              <w:rPr>
                <w:b w:val="0"/>
                <w:sz w:val="16"/>
              </w:rPr>
            </w:pPr>
            <w:r>
              <w:rPr>
                <w:b w:val="0"/>
                <w:sz w:val="16"/>
              </w:rPr>
              <w:t>1 995 000,00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611 125 322,40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1 370 000,00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750" w:type="pct"/>
            <w:shd w:val="clear" w:color="auto" w:fill="FFFFFF"/>
            <w:noWrap w:val="0"/>
            <w:tcMar>
              <w:top w:w="60" w:type="dxa"/>
            </w:tcMar>
            <w:vAlign w:val="center"/>
          </w:tcPr>
          <w:p>
            <w:pPr>
              <w:spacing w:before="20" w:after="20"/>
              <w:jc w:val="right"/>
              <w:rPr>
                <w:b w:val="0"/>
                <w:sz w:val="16"/>
              </w:rPr>
            </w:pPr>
            <w:r>
              <w:rPr>
                <w:b w:val="0"/>
                <w:sz w:val="16"/>
              </w:rPr>
              <w:t>8 023 392,00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60" w:type="dxa"/>
            </w:tcMar>
            <w:vAlign w:val="center"/>
          </w:tcPr>
          <w:p>
            <w:pPr>
              <w:spacing w:before="20" w:after="20"/>
              <w:jc w:val="right"/>
              <w:rPr>
                <w:b w:val="0"/>
                <w:sz w:val="16"/>
              </w:rPr>
            </w:pPr>
            <w:r>
              <w:rPr>
                <w:b w:val="0"/>
                <w:sz w:val="16"/>
              </w:rPr>
              <w:t>120 714 739,10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60" w:type="dxa"/>
            </w:tcMar>
            <w:vAlign w:val="center"/>
          </w:tcPr>
          <w:p>
            <w:pPr>
              <w:spacing w:before="20" w:after="20"/>
              <w:jc w:val="right"/>
              <w:rPr>
                <w:b w:val="0"/>
                <w:sz w:val="16"/>
              </w:rPr>
            </w:pPr>
            <w:r>
              <w:rPr>
                <w:b w:val="0"/>
                <w:sz w:val="16"/>
              </w:rPr>
              <w:t>6 500 000,00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60" w:type="dxa"/>
            </w:tcMar>
            <w:vAlign w:val="center"/>
          </w:tcPr>
          <w:p>
            <w:pPr>
              <w:spacing w:before="20" w:after="20"/>
              <w:jc w:val="right"/>
              <w:rPr>
                <w:b w:val="0"/>
                <w:sz w:val="16"/>
              </w:rPr>
            </w:pPr>
            <w:r>
              <w:rPr>
                <w:b w:val="0"/>
                <w:sz w:val="16"/>
              </w:rPr>
              <w:t>34 118 041,30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750" w:type="pct"/>
            <w:shd w:val="clear" w:color="auto" w:fill="FFFFFF"/>
            <w:noWrap w:val="0"/>
            <w:tcMar>
              <w:top w:w="60" w:type="dxa"/>
            </w:tcMar>
            <w:vAlign w:val="center"/>
          </w:tcPr>
          <w:p>
            <w:pPr>
              <w:spacing w:before="20" w:after="20"/>
              <w:jc w:val="right"/>
              <w:rPr>
                <w:b w:val="0"/>
                <w:sz w:val="16"/>
              </w:rPr>
            </w:pPr>
            <w:r>
              <w:rPr>
                <w:b w:val="0"/>
                <w:sz w:val="16"/>
              </w:rPr>
              <w:t>19,00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750" w:type="pct"/>
            <w:shd w:val="clear" w:color="auto" w:fill="FFFFFF"/>
            <w:noWrap w:val="0"/>
            <w:tcMar>
              <w:top w:w="60" w:type="dxa"/>
            </w:tcMar>
            <w:vAlign w:val="center"/>
          </w:tcPr>
          <w:p>
            <w:pPr>
              <w:spacing w:before="20" w:after="20"/>
              <w:jc w:val="right"/>
              <w:rPr>
                <w:b w:val="0"/>
                <w:sz w:val="16"/>
              </w:rPr>
            </w:pPr>
            <w:r>
              <w:rPr>
                <w:b w:val="0"/>
                <w:sz w:val="16"/>
              </w:rPr>
              <w:t>98 373,00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2" w:name="_Toc256000172"/>
      <w:r>
        <w:t>Преглед на планираното изпълнение и на планираните разходи по мерки и по области с поставен акцент (генериран автоматично)</w:t>
      </w:r>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5"/>
        <w:gridCol w:w="835"/>
        <w:gridCol w:w="835"/>
        <w:gridCol w:w="835"/>
        <w:gridCol w:w="835"/>
        <w:gridCol w:w="2"/>
        <w:gridCol w:w="833"/>
        <w:gridCol w:w="835"/>
        <w:gridCol w:w="3"/>
        <w:gridCol w:w="832"/>
        <w:gridCol w:w="835"/>
        <w:gridCol w:w="835"/>
        <w:gridCol w:w="2"/>
        <w:gridCol w:w="3"/>
        <w:gridCol w:w="830"/>
        <w:gridCol w:w="2"/>
        <w:gridCol w:w="833"/>
        <w:gridCol w:w="2"/>
        <w:gridCol w:w="833"/>
        <w:gridCol w:w="2"/>
        <w:gridCol w:w="833"/>
        <w:gridCol w:w="2"/>
        <w:gridCol w:w="833"/>
        <w:gridCol w:w="2"/>
        <w:gridCol w:w="6"/>
        <w:gridCol w:w="827"/>
        <w:gridCol w:w="2"/>
        <w:gridCol w:w="833"/>
        <w:gridCol w:w="2"/>
        <w:gridCol w:w="833"/>
        <w:gridCol w:w="2"/>
        <w:gridCol w:w="8"/>
        <w:gridCol w:w="83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750" w:type="pct"/>
            <w:gridSpan w:val="4"/>
            <w:shd w:val="clear" w:color="auto" w:fill="C0C0C0"/>
            <w:noWrap w:val="0"/>
            <w:tcMar>
              <w:top w:w="20" w:type="dxa"/>
              <w:left w:w="20" w:type="dxa"/>
              <w:bottom w:w="20" w:type="dxa"/>
            </w:tcMar>
            <w:vAlign w:val="center"/>
          </w:tcPr>
          <w:p>
            <w:pPr>
              <w:jc w:val="center"/>
              <w:rPr>
                <w:b w:val="0"/>
                <w:sz w:val="16"/>
              </w:rPr>
            </w:pPr>
            <w:r>
              <w:rPr>
                <w:b w:val="0"/>
                <w:sz w:val="16"/>
              </w:rPr>
              <w:t>P2</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P3</w:t>
            </w:r>
          </w:p>
        </w:tc>
        <w:tc>
          <w:tcPr>
            <w:tcW w:w="750" w:type="pct"/>
            <w:gridSpan w:val="5"/>
            <w:shd w:val="clear" w:color="auto" w:fill="C0C0C0"/>
            <w:noWrap w:val="0"/>
            <w:tcMar>
              <w:top w:w="20" w:type="dxa"/>
              <w:left w:w="20" w:type="dxa"/>
              <w:bottom w:w="20" w:type="dxa"/>
            </w:tcMar>
            <w:vAlign w:val="center"/>
          </w:tcPr>
          <w:p>
            <w:pPr>
              <w:jc w:val="center"/>
              <w:rPr>
                <w:b w:val="0"/>
                <w:sz w:val="16"/>
              </w:rPr>
            </w:pPr>
            <w:r>
              <w:rPr>
                <w:b w:val="0"/>
                <w:sz w:val="16"/>
              </w:rPr>
              <w:t>P4</w:t>
            </w:r>
          </w:p>
        </w:tc>
        <w:tc>
          <w:tcPr>
            <w:tcW w:w="750" w:type="pct"/>
            <w:gridSpan w:val="11"/>
            <w:shd w:val="clear" w:color="auto" w:fill="C0C0C0"/>
            <w:noWrap w:val="0"/>
            <w:tcMar>
              <w:top w:w="20" w:type="dxa"/>
              <w:left w:w="20" w:type="dxa"/>
              <w:bottom w:w="20" w:type="dxa"/>
            </w:tcMar>
            <w:vAlign w:val="center"/>
          </w:tcPr>
          <w:p>
            <w:pPr>
              <w:jc w:val="center"/>
              <w:rPr>
                <w:b w:val="0"/>
                <w:sz w:val="16"/>
              </w:rPr>
            </w:pPr>
            <w:r>
              <w:rPr>
                <w:b w:val="0"/>
                <w:sz w:val="16"/>
              </w:rPr>
              <w:t>P5</w:t>
            </w:r>
          </w:p>
        </w:tc>
        <w:tc>
          <w:tcPr>
            <w:tcW w:w="750" w:type="pct"/>
            <w:gridSpan w:val="7"/>
            <w:shd w:val="clear" w:color="auto" w:fill="C0C0C0"/>
            <w:noWrap w:val="0"/>
            <w:tcMar>
              <w:top w:w="20" w:type="dxa"/>
              <w:left w:w="20" w:type="dxa"/>
              <w:bottom w:w="20" w:type="dxa"/>
            </w:tcMar>
            <w:vAlign w:val="center"/>
          </w:tcPr>
          <w:p>
            <w:pPr>
              <w:jc w:val="center"/>
              <w:rPr>
                <w:b w:val="0"/>
                <w:sz w:val="16"/>
              </w:rPr>
            </w:pPr>
            <w:r>
              <w:rPr>
                <w:b w:val="0"/>
                <w:sz w:val="16"/>
              </w:rPr>
              <w:t>P6</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3A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4A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5A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5D</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5E</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6A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6C</w:t>
            </w:r>
          </w:p>
        </w:tc>
        <w:tc>
          <w:tcPr>
            <w:tcW w:w="750" w:type="pct"/>
            <w:gridSpan w:val="3"/>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8,460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1,050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21,870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9,595,431.8</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3,254,531.8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903,715.3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469,715.3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2,313,178.8</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348,412.9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20,828,609.5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559,165,890.3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140,088,285.8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782,052,716.6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58,263,917.2</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419,024,651.4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84,266,116.9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2,119,505,204.3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359,290,503.7</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84,052,971.5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391,194,274.9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34,958,350.3</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233,605,405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42,829,679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1,221,703,704.4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27,589,337</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27,589,337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159,053,722.4</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355,969,585.6</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79,526,861.2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276,442,724.4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611,125,322.4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723,125,322.4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20,474,302.4</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20,474,302.4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18,500,000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242,384,616</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282,384,616</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245,943,439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245,943,439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204,676,037.7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204,676,037.7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391,414,674.7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391,414,674.7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14,388,889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2,055,555.6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28,000,000.1</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44,461,947.4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3,899,999.9</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48,361,947.3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190</w:t>
            </w:r>
          </w:p>
        </w:tc>
      </w:tr>
    </w:tbl>
    <w:p>
      <w:pPr>
        <w:sectPr>
          <w:pgSz w:w="15840" w:h="12240" w:orient="landscape"/>
          <w:pgMar w:top="900" w:right="46" w:bottom="900" w:left="46" w:header="720" w:footer="720"/>
          <w:cols w:space="720"/>
        </w:sectPr>
      </w:pPr>
    </w:p>
    <w:p>
      <w:pPr>
        <w:pStyle w:val="Heading2"/>
      </w:pPr>
      <w:bookmarkStart w:id="173" w:name="_Toc256000173"/>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4" w:name="_Toc256000174"/>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4"/>
    </w:p>
    <w:p>
      <w:pPr>
        <w:pStyle w:val="Heading3"/>
        <w:jc w:val="left"/>
        <w:rPr>
          <w:b w:val="0"/>
        </w:rPr>
      </w:pPr>
      <w:r>
        <w:rPr>
          <w:b w:val="0"/>
        </w:rPr>
        <w:t xml:space="preserve"> </w:t>
      </w:r>
      <w:bookmarkStart w:id="175" w:name="_Toc256000175"/>
      <w:r>
        <w:rPr>
          <w:b w:val="0"/>
        </w:rPr>
        <w:t>Земеделска земя</w:t>
      </w:r>
      <w:bookmarkEnd w:id="175"/>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40 000 000,00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61 669 093,30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29 447 213,30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37 867 213,30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61 867 213,30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46 533 882,70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105 308 537,70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140 634 901,00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187 805 010,60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1 631 112,00</w:t>
            </w:r>
          </w:p>
        </w:tc>
        <w:tc>
          <w:tcPr>
            <w:tcW w:w="750" w:type="pct"/>
            <w:shd w:val="clear" w:color="auto" w:fill="FFFFFF"/>
            <w:noWrap w:val="0"/>
            <w:tcMar>
              <w:top w:w="60" w:type="dxa"/>
            </w:tcMar>
            <w:vAlign w:val="top"/>
          </w:tcPr>
          <w:p>
            <w:pPr>
              <w:jc w:val="right"/>
              <w:rPr>
                <w:b w:val="0"/>
                <w:sz w:val="16"/>
              </w:rPr>
            </w:pPr>
            <w:r>
              <w:rPr>
                <w:b w:val="0"/>
                <w:sz w:val="16"/>
              </w:rPr>
              <w:t>230,00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6" w:name="_Toc256000176"/>
      <w:r>
        <w:rPr>
          <w:b w:val="0"/>
        </w:rPr>
        <w:t>Горски площи</w:t>
      </w:r>
      <w:bookmarkEnd w:id="176"/>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7" w:name="_Toc256000177"/>
      <w:r>
        <w:t>Специфични за програмата цел и изпълнение</w:t>
      </w:r>
      <w:bookmarkEnd w:id="177"/>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2025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22"/>
        <w:gridCol w:w="1522"/>
        <w:gridCol w:w="1522"/>
        <w:gridCol w:w="1522"/>
        <w:gridCol w:w="1522"/>
        <w:gridCol w:w="1522"/>
        <w:gridCol w:w="15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sz w:val="20"/>
              </w:rPr>
            </w:pPr>
            <w:r>
              <w:rPr>
                <w:b/>
                <w:sz w:val="20"/>
              </w:rPr>
              <w:t>от които по линия на EURI</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right"/>
              <w:rPr>
                <w:b w:val="0"/>
                <w:sz w:val="16"/>
              </w:rPr>
            </w:pPr>
            <w:r>
              <w:rPr>
                <w:b w:val="0"/>
                <w:sz w:val="16"/>
              </w:rPr>
              <w:t>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8" w:name="_Toc256000178"/>
      <w:r>
        <w:t>Допълнително национално финансиране</w:t>
      </w:r>
      <w:bookmarkEnd w:id="178"/>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9" w:name="_Toc256000179"/>
      <w:r>
        <w:rPr>
          <w:b/>
          <w:i w:val="0"/>
        </w:rPr>
        <w:t>М01 — Трансфер на знания и действия за осведомяване (член 14)</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0" w:name="_Toc256000180"/>
      <w:r>
        <w:rPr>
          <w:b/>
          <w:i w:val="0"/>
        </w:rPr>
        <w:t>М02 —  Консултантски услуги, услуги по управление на стопанство и услуги по заместване в стопанство (член 15)</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M04 — Инвестиции в материални активи (член 17)</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2"/>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3" w:name="_Toc256000183"/>
      <w:r>
        <w:rPr>
          <w:b/>
          <w:i w:val="0"/>
        </w:rPr>
        <w:t>M06 — Развитие на стопанства и предприятия (член 19)</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М07 — Основни услуги и обновяване на селата в селските райони (член 20)</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М08 — Инвестиции в развитие на горските райони и подобряване на жизнеспособността на горите (членове 21 — 26)</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M09 — Създаване на групи и организации на производителите (член 27)</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M10 — Агроекология и климат (член 28)</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М11 — Биологично земеделие (член 29)</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M12 — Плащания по „Натура 2000“ и Рамковата директива за водите (член 30)</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М13 — Плащания за райони, изправени пред природни или други специфични ограничения (член 31)</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M14 — Хуманно отношение към животните (член 33)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M16 — Сътрудничество (член 35)</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M19 — Подкрепа за местно развитие по LEADER (ВОМР — водено от общностите местно развитие) (член 35 от Регламент (ЕС) № 1303/2013)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М20 — Техническа помощ държави членки (членове 51 — 54)</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6" w:name="_Toc256000196"/>
      <w:r>
        <w:t>Елементи, необходими за оценка на държавната помощ</w:t>
      </w:r>
      <w:bookmarkEnd w:id="196"/>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13 500 000,00</w:t>
            </w:r>
          </w:p>
        </w:tc>
        <w:tc>
          <w:tcPr>
            <w:tcW w:w="650" w:type="pct"/>
            <w:shd w:val="clear" w:color="auto" w:fill="FFFFFF"/>
            <w:noWrap w:val="0"/>
            <w:tcMar>
              <w:top w:w="60" w:type="dxa"/>
            </w:tcMar>
            <w:vAlign w:val="top"/>
          </w:tcPr>
          <w:p>
            <w:pPr>
              <w:jc w:val="right"/>
              <w:rPr>
                <w:b w:val="0"/>
                <w:sz w:val="16"/>
              </w:rPr>
            </w:pPr>
            <w:r>
              <w:rPr>
                <w:b w:val="0"/>
                <w:sz w:val="16"/>
              </w:rPr>
              <w:t>1 500 000,00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sz w:val="16"/>
              </w:rPr>
            </w:pPr>
            <w:r>
              <w:rPr>
                <w:b w:val="0"/>
                <w:sz w:val="16"/>
              </w:rPr>
              <w:t>10 000 000,00</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649 372 224,38</w:t>
            </w:r>
          </w:p>
        </w:tc>
        <w:tc>
          <w:tcPr>
            <w:tcW w:w="650" w:type="pct"/>
            <w:shd w:val="clear" w:color="auto" w:fill="C0C0C0"/>
            <w:noWrap w:val="0"/>
            <w:tcMar>
              <w:top w:w="60" w:type="dxa"/>
            </w:tcMar>
            <w:vAlign w:val="top"/>
          </w:tcPr>
          <w:p>
            <w:pPr>
              <w:jc w:val="right"/>
              <w:rPr>
                <w:b/>
                <w:sz w:val="16"/>
              </w:rPr>
            </w:pPr>
            <w:r>
              <w:rPr>
                <w:b/>
                <w:sz w:val="16"/>
              </w:rPr>
              <w:t>108 371 105,76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762 743 330,14</w:t>
            </w:r>
          </w:p>
        </w:tc>
      </w:tr>
    </w:tbl>
    <w:p>
      <w:pPr>
        <w:rPr>
          <w:b/>
        </w:rPr>
        <w:sectPr>
          <w:pgSz w:w="15840" w:h="12240" w:orient="landscape"/>
          <w:pgMar w:top="900" w:right="900" w:bottom="900" w:left="900" w:header="720" w:footer="720"/>
          <w:cols w:space="720"/>
        </w:sectPr>
      </w:pPr>
    </w:p>
    <w:p/>
    <w:p>
      <w:pPr>
        <w:pStyle w:val="Heading2"/>
      </w:pPr>
      <w:bookmarkStart w:id="197" w:name="_Toc256000197"/>
      <w:r>
        <w:t>М01 — Трансфер на знания и действия за осведомяване (член 14)</w:t>
      </w:r>
      <w:bookmarkEnd w:id="197"/>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13 500 000,00</w:t>
      </w:r>
    </w:p>
    <w:p>
      <w:r>
        <w:t xml:space="preserve">Национално съфинансиране (в евро): </w:t>
      </w:r>
      <w:r>
        <w:t>1 500 000,00</w:t>
      </w:r>
    </w:p>
    <w:p>
      <w:r>
        <w:t xml:space="preserve">Допълнително национално финансиране (в евро): </w:t>
      </w:r>
    </w:p>
    <w:p>
      <w:r>
        <w:t xml:space="preserve">Общо (в EUR): </w:t>
      </w:r>
      <w:r>
        <w:t>15 000 000,00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демонстрационни дейности, насочени към горски стопани и заетите лица в техните стопанства, ще се предоставя посредством държавна помощ SA.103935 "Демонстрационни дейности и действия по осведомяване“ от мярка 1 „Трансфер на знания и действия за осведомяване“ от ПРСР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8" w:name="_Toc256000198"/>
      <w:r>
        <w:t>М02 —  Консултантски услуги, услуги по управление на стопанство и услуги по заместване в стопанство (член 15)</w:t>
      </w:r>
      <w:bookmarkEnd w:id="198"/>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9" w:name="_Toc256000199"/>
      <w:r>
        <w:t>М02 —  Консултантски услуги, услуги по управление на стопанство и услуги по заместване в стопанство (член 15)</w:t>
      </w:r>
      <w:bookmarkEnd w:id="199"/>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0" w:name="_Toc256000200"/>
      <w:r>
        <w:t>M04 — Инвестиции в материални активи (член 17)</w:t>
      </w:r>
      <w:bookmarkEnd w:id="200"/>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1" w:name="_Toc256000201"/>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1"/>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2" w:name="_Toc256000202"/>
      <w:r>
        <w:t>M06 — Развитие на стопанства и предприятия (член 19)</w:t>
      </w:r>
      <w:bookmarkEnd w:id="202"/>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3" w:name="_Toc256000203"/>
      <w:r>
        <w:t>М07 — Основни услуги и обновяване на селата в селските райони (член 20)</w:t>
      </w:r>
      <w:bookmarkEnd w:id="203"/>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4" w:name="_Toc256000204"/>
      <w:r>
        <w:t>М07 — Основни услуги и обновяване на селата в селските райони (член 20)</w:t>
      </w:r>
      <w:bookmarkEnd w:id="204"/>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5" w:name="_Toc256000205"/>
      <w:r>
        <w:t>М07 — Основни услуги и обновяване на селата в селските райони (член 20)</w:t>
      </w:r>
      <w:bookmarkEnd w:id="205"/>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М08 — Инвестиции в развитие на горските райони и подобряване на жизнеспособността на горите (членове 21 — 26)</w:t>
      </w:r>
      <w:bookmarkEnd w:id="206"/>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7" w:name="_Toc256000207"/>
      <w:r>
        <w:t>М08 — Инвестиции в развитие на горските райони и подобряване на жизнеспособността на горите (членове 21 — 26)</w:t>
      </w:r>
      <w:bookmarkEnd w:id="207"/>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8" w:name="_Toc256000208"/>
      <w:r>
        <w:t>М08 — Инвестиции в развитие на горските райони и подобряване на жизнеспособността на горите (членове 21 — 26)</w:t>
      </w:r>
      <w:bookmarkEnd w:id="208"/>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M09 — Създаване на групи и организации на производителите (член 27)</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M10 — Агроекология и климат (член 28)</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М11 — Биологично земеделие (член 29)</w:t>
      </w:r>
      <w:bookmarkEnd w:id="2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M12 — Плащания по „Натура 2000“ и Рамковата директива за водите (член 30)</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М13 — Плащания за райони, изправени пред природни или други специфични ограничения (член 31)</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M14 — Хуманно отношение към животните (член 33)</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M16 — Сътрудничество (член 35)</w:t>
      </w:r>
      <w:bookmarkEnd w:id="216"/>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M16 — Сътрудничество (член 35)</w:t>
      </w:r>
      <w:bookmarkEnd w:id="217"/>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M19 — Подкрепа за местно развитие по LEADER (ВОМР — водено от общностите местно развитие) (член 35 от Регламент (ЕС) № 1303/2013)</w:t>
      </w:r>
      <w:bookmarkEnd w:id="218"/>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219"/>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Pr>
        <w:sectPr>
          <w:pgMar w:top="900" w:right="900" w:bottom="900" w:left="900" w:header="720" w:footer="720"/>
          <w:cols w:space="720"/>
        </w:sectPr>
      </w:pPr>
    </w:p>
    <w:p>
      <w:pPr>
        <w:pStyle w:val="Heading1"/>
      </w:pPr>
      <w:bookmarkStart w:id="220" w:name="_Toc256000220"/>
      <w:r>
        <w:t>Информация относно взаимното допълване</w:t>
      </w:r>
      <w:bookmarkEnd w:id="220"/>
    </w:p>
    <w:p>
      <w:pPr>
        <w:pStyle w:val="Heading2"/>
      </w:pPr>
      <w:bookmarkStart w:id="221" w:name="_Toc256000221"/>
      <w:r>
        <w:t>Описание на средствата за осигуряване на допълняемост и съгласуваност със:</w:t>
      </w:r>
      <w:bookmarkEnd w:id="221"/>
      <w:r>
        <w:t xml:space="preserve"> </w:t>
      </w:r>
    </w:p>
    <w:p>
      <w:pPr>
        <w:pStyle w:val="Heading3"/>
        <w:jc w:val="left"/>
        <w:rPr>
          <w:b w:val="0"/>
        </w:rPr>
      </w:pPr>
      <w:bookmarkStart w:id="222" w:name="_Toc256000222"/>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3" w:name="_Toc256000223"/>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4" w:name="_Toc256000224"/>
      <w:r>
        <w:rPr>
          <w:b w:val="0"/>
        </w:rPr>
        <w:t>Когато е целесъобразно, информация за взаимното допълване с други финансови инструменти на Съюза, включително програма LIFE</w:t>
      </w:r>
      <w:bookmarkEnd w:id="22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5" w:name="_Toc256000225"/>
      <w:r>
        <w:t>Организация за изпълнението на програмата</w:t>
      </w:r>
      <w:bookmarkEnd w:id="225"/>
    </w:p>
    <w:p>
      <w:pPr>
        <w:pStyle w:val="Heading2"/>
      </w:pPr>
      <w:bookmarkStart w:id="226" w:name="_Toc256000226"/>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6"/>
    </w:p>
    <w:p>
      <w:pPr>
        <w:pStyle w:val="Heading3"/>
        <w:jc w:val="left"/>
        <w:rPr>
          <w:b w:val="0"/>
        </w:rPr>
      </w:pPr>
      <w:bookmarkStart w:id="227" w:name="_Toc256000227"/>
      <w:r>
        <w:rPr>
          <w:b w:val="0"/>
        </w:rPr>
        <w:t>Органи</w:t>
      </w:r>
      <w:bookmarkEnd w:id="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60" w:type="dxa"/>
            </w:tcMar>
            <w:vAlign w:val="top"/>
          </w:tcPr>
          <w:p>
            <w:pPr>
              <w:jc w:val="center"/>
              <w:rPr>
                <w:b/>
                <w:sz w:val="20"/>
              </w:rPr>
            </w:pPr>
            <w:r>
              <w:rPr>
                <w:b/>
                <w:sz w:val="20"/>
              </w:rPr>
              <w:t>Орган</w:t>
            </w:r>
          </w:p>
        </w:tc>
        <w:tc>
          <w:tcPr>
            <w:tcW w:w="12000" w:type="dxa"/>
            <w:shd w:val="clear" w:color="auto" w:fill="C0C0C0"/>
            <w:noWrap w:val="0"/>
            <w:tcMar>
              <w:top w:w="60" w:type="dxa"/>
            </w:tcMar>
            <w:vAlign w:val="top"/>
          </w:tcPr>
          <w:p>
            <w:pPr>
              <w:jc w:val="center"/>
              <w:rPr>
                <w:b/>
                <w:sz w:val="20"/>
              </w:rPr>
            </w:pPr>
            <w:r>
              <w:rPr>
                <w:b/>
                <w:sz w:val="20"/>
              </w:rPr>
              <w:t>Наименование на органа</w:t>
            </w:r>
          </w:p>
        </w:tc>
        <w:tc>
          <w:tcPr>
            <w:tcW w:w="12000" w:type="dxa"/>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12000" w:type="dxa"/>
            <w:shd w:val="clear" w:color="auto" w:fill="C0C0C0"/>
            <w:noWrap w:val="0"/>
            <w:tcMar>
              <w:top w:w="60" w:type="dxa"/>
            </w:tcMar>
            <w:vAlign w:val="top"/>
          </w:tcPr>
          <w:p>
            <w:pPr>
              <w:jc w:val="center"/>
              <w:rPr>
                <w:b/>
                <w:sz w:val="20"/>
              </w:rPr>
            </w:pPr>
            <w:r>
              <w:rPr>
                <w:b/>
                <w:sz w:val="20"/>
              </w:rPr>
              <w:t>Адрес</w:t>
            </w:r>
          </w:p>
        </w:tc>
        <w:tc>
          <w:tcPr>
            <w:tcW w:w="12000" w:type="dxa"/>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Managing authority</w:t>
            </w:r>
          </w:p>
        </w:tc>
        <w:tc>
          <w:tcPr>
            <w:tcW w:w="12000" w:type="dxa"/>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w:t>
            </w:r>
          </w:p>
        </w:tc>
        <w:tc>
          <w:tcPr>
            <w:tcW w:w="12000" w:type="dxa"/>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12000" w:type="dxa"/>
            <w:shd w:val="clear" w:color="auto" w:fill="FFFFFF"/>
            <w:noWrap w:val="0"/>
            <w:tcMar>
              <w:top w:w="60" w:type="dxa"/>
            </w:tcMar>
            <w:vAlign w:val="top"/>
          </w:tcPr>
          <w:p>
            <w:pPr>
              <w:jc w:val="left"/>
              <w:rPr>
                <w:b w:val="0"/>
                <w:sz w:val="16"/>
              </w:rPr>
            </w:pPr>
            <w:r>
              <w:rPr>
                <w:b w:val="0"/>
                <w:sz w:val="16"/>
              </w:rPr>
              <w:t>бул. "Христо Ботев" 55, София 1040</w:t>
            </w:r>
          </w:p>
        </w:tc>
        <w:tc>
          <w:tcPr>
            <w:tcW w:w="12000" w:type="dxa"/>
            <w:shd w:val="clear" w:color="auto" w:fill="FFFFFF"/>
            <w:noWrap w:val="0"/>
            <w:tcMar>
              <w:top w:w="60" w:type="dxa"/>
            </w:tcMar>
            <w:vAlign w:val="top"/>
          </w:tcPr>
          <w:p>
            <w:pPr>
              <w:jc w:val="left"/>
              <w:rPr>
                <w:b w:val="0"/>
                <w:sz w:val="16"/>
              </w:rPr>
            </w:pPr>
            <w:r>
              <w:rPr>
                <w:b w:val="0"/>
                <w:sz w:val="16"/>
              </w:rPr>
              <w:t>EAIvanova@mzh.government.bg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Certification body</w:t>
            </w:r>
          </w:p>
        </w:tc>
        <w:tc>
          <w:tcPr>
            <w:tcW w:w="12000" w:type="dxa"/>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 „Витоша“ 15, София 1000</w:t>
            </w:r>
          </w:p>
        </w:tc>
        <w:tc>
          <w:tcPr>
            <w:tcW w:w="12000" w:type="dxa"/>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Accredited paying agency</w:t>
            </w:r>
          </w:p>
        </w:tc>
        <w:tc>
          <w:tcPr>
            <w:tcW w:w="12000" w:type="dxa"/>
            <w:shd w:val="clear" w:color="auto" w:fill="FFFFFF"/>
            <w:noWrap w:val="0"/>
            <w:tcMar>
              <w:top w:w="60" w:type="dxa"/>
            </w:tcMar>
            <w:vAlign w:val="top"/>
          </w:tcPr>
          <w:p>
            <w:pPr>
              <w:jc w:val="left"/>
              <w:rPr>
                <w:b w:val="0"/>
                <w:sz w:val="16"/>
              </w:rPr>
            </w:pPr>
            <w:r>
              <w:rPr>
                <w:b w:val="0"/>
                <w:sz w:val="16"/>
              </w:rPr>
              <w:t>Държавен Фонд "Земеделие" - РА</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бул."Цар Борис III" 136, София 1618</w:t>
            </w:r>
          </w:p>
        </w:tc>
        <w:tc>
          <w:tcPr>
            <w:tcW w:w="12000" w:type="dxa"/>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8" w:name="_Toc256000228"/>
      <w:r>
        <w:rPr>
          <w:b w:val="0"/>
        </w:rPr>
        <w:t>Кратко описание на структурата за управление и контрол на програмата и на процедурите за независимо разглеждане на жалби</w:t>
      </w:r>
      <w:bookmarkEnd w:id="228"/>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r>
              <w:rPr>
                <w:rFonts w:ascii="Times New Roman" w:eastAsia="Times New Roman" w:hAnsi="Times New Roman" w:cs="Times New Roman"/>
                <w:i/>
                <w:iCs/>
                <w:szCs w:val="24"/>
                <w:u w:val="single"/>
              </w:rPr>
              <w:t>Ръководител на Управляващия орган може да бъде друго лице, назначено и упълномощено от Ръководителя на администрацията или организацията, в която се намира Управляващият орган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2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29" w:name="_Toc256000229"/>
      <w:r>
        <w:rPr>
          <w:b w:val="0"/>
        </w:rPr>
        <w:t>Предлаган състав на мониторинговия комитет</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0" w:name="_Toc256000230"/>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2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2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2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2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1" w:name="_Toc256000231"/>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2" w:name="_Toc256000232"/>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3" w:name="_Toc256000233"/>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4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4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4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4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4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48"/>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Министерство на земеделието;</w:t>
            </w:r>
          </w:p>
          <w:p>
            <w:pPr>
              <w:numPr>
                <w:ilvl w:val="0"/>
                <w:numId w:val="5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4" w:name="_Toc256000234"/>
      <w:r>
        <w:t>Списък на действията за привличане на партньорите</w:t>
      </w:r>
      <w:bookmarkEnd w:id="234"/>
    </w:p>
    <w:p>
      <w:pPr>
        <w:pStyle w:val="Heading2"/>
      </w:pPr>
      <w:bookmarkStart w:id="235" w:name="_Toc256000235"/>
      <w:r>
        <w:t>16.1.1.Създаване на Тематична работна група (ТРГ) за разработване на ПРСР(2014-2020) с участие на партньорите</w:t>
      </w:r>
      <w:bookmarkEnd w:id="235"/>
    </w:p>
    <w:p>
      <w:pPr>
        <w:pStyle w:val="Heading3"/>
        <w:jc w:val="left"/>
        <w:rPr>
          <w:b w:val="0"/>
        </w:rPr>
      </w:pPr>
      <w:bookmarkStart w:id="236" w:name="_Toc256000236"/>
      <w:r>
        <w:rPr>
          <w:b w:val="0"/>
        </w:rPr>
        <w:t>Предмет на съответната консултация</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7" w:name="_Toc256000237"/>
      <w:r>
        <w:rPr>
          <w:b w:val="0"/>
        </w:rPr>
        <w:t>Обобщение на резултатите</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8" w:name="_Toc256000238"/>
      <w:r>
        <w:rPr>
          <w:b w:val="0"/>
        </w:rPr>
        <w:t>16.1.2. Провеждане на 7 заседания на ТРГ.</w:t>
      </w:r>
      <w:bookmarkEnd w:id="238"/>
    </w:p>
    <w:p>
      <w:pPr>
        <w:pStyle w:val="Heading3"/>
        <w:jc w:val="left"/>
        <w:rPr>
          <w:b w:val="0"/>
        </w:rPr>
      </w:pPr>
      <w:bookmarkStart w:id="239" w:name="_Toc256000239"/>
      <w:r>
        <w:rPr>
          <w:b w:val="0"/>
        </w:rPr>
        <w:t>Предмет на съответната консултация</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0" w:name="_Toc256000240"/>
      <w:r>
        <w:rPr>
          <w:b w:val="0"/>
        </w:rPr>
        <w:t>Обобщение на резултатите</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1" w:name="_Toc256000241"/>
      <w:r>
        <w:rPr>
          <w:b w:val="0"/>
        </w:rPr>
        <w:t>16.1.3. Сформиране на фокус групи</w:t>
      </w:r>
      <w:bookmarkEnd w:id="241"/>
    </w:p>
    <w:p>
      <w:pPr>
        <w:pStyle w:val="Heading3"/>
        <w:jc w:val="left"/>
        <w:rPr>
          <w:b w:val="0"/>
        </w:rPr>
      </w:pPr>
      <w:bookmarkStart w:id="242" w:name="_Toc256000242"/>
      <w:r>
        <w:rPr>
          <w:b w:val="0"/>
        </w:rPr>
        <w:t>Предмет на съответната консултация</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3" w:name="_Toc256000243"/>
      <w:r>
        <w:rPr>
          <w:b w:val="0"/>
        </w:rPr>
        <w:t>Обобщение на резултатите</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4" w:name="_Toc256000244"/>
      <w:r>
        <w:rPr>
          <w:b w:val="0"/>
        </w:rPr>
        <w:t>16.1.4.Привличане на партньори със съвещателен глас</w:t>
      </w:r>
      <w:bookmarkEnd w:id="244"/>
    </w:p>
    <w:p>
      <w:pPr>
        <w:pStyle w:val="Heading3"/>
        <w:jc w:val="left"/>
        <w:rPr>
          <w:b w:val="0"/>
        </w:rPr>
      </w:pPr>
      <w:bookmarkStart w:id="245" w:name="_Toc256000245"/>
      <w:r>
        <w:rPr>
          <w:b w:val="0"/>
        </w:rPr>
        <w:t>Предмет на съответната консултация</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6" w:name="_Toc256000246"/>
      <w:r>
        <w:rPr>
          <w:b w:val="0"/>
        </w:rPr>
        <w:t>Обобщение на резултатите</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7" w:name="_Toc256000247"/>
      <w:r>
        <w:rPr>
          <w:b w:val="0"/>
        </w:rPr>
        <w:t>16.1.5.Представяне на ПРСР на три заседания на КН</w:t>
      </w:r>
      <w:bookmarkEnd w:id="247"/>
    </w:p>
    <w:p>
      <w:pPr>
        <w:pStyle w:val="Heading3"/>
        <w:jc w:val="left"/>
        <w:rPr>
          <w:b w:val="0"/>
        </w:rPr>
      </w:pPr>
      <w:bookmarkStart w:id="248" w:name="_Toc256000248"/>
      <w:r>
        <w:rPr>
          <w:b w:val="0"/>
        </w:rPr>
        <w:t>Предмет на съответната консултация</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9" w:name="_Toc256000249"/>
      <w:r>
        <w:rPr>
          <w:b w:val="0"/>
        </w:rPr>
        <w:t>Обобщение на резултатите</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0" w:name="_Toc256000250"/>
      <w:r>
        <w:rPr>
          <w:b w:val="0"/>
        </w:rPr>
        <w:t>16.1.6.Достъп до информация, прозрачност</w:t>
      </w:r>
      <w:bookmarkEnd w:id="250"/>
    </w:p>
    <w:p>
      <w:pPr>
        <w:pStyle w:val="Heading3"/>
        <w:jc w:val="left"/>
        <w:rPr>
          <w:b w:val="0"/>
        </w:rPr>
      </w:pPr>
      <w:bookmarkStart w:id="251" w:name="_Toc256000251"/>
      <w:r>
        <w:rPr>
          <w:b w:val="0"/>
        </w:rPr>
        <w:t>Предмет на съответната консултация</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2" w:name="_Toc256000252"/>
      <w:r>
        <w:rPr>
          <w:b w:val="0"/>
        </w:rPr>
        <w:t>Обобщение на резултатите</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3" w:name="_Toc256000253"/>
      <w:r>
        <w:rPr>
          <w:b w:val="0"/>
        </w:rPr>
        <w:t>(Незадължително) разяснения или допълнителна информация за допълване на списъка с действия</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4" w:name="_Toc256000254"/>
      <w:r>
        <w:t>Национална мрежа за селските райони</w:t>
      </w:r>
      <w:bookmarkEnd w:id="254"/>
    </w:p>
    <w:p>
      <w:pPr>
        <w:pStyle w:val="Heading2"/>
      </w:pPr>
      <w:bookmarkStart w:id="255" w:name="_Toc256000255"/>
      <w:r>
        <w:t>Процедура и график за създаването на националната мрежа за селските райони („НМСР“)</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6" w:name="_Toc256000256"/>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7" w:name="_Toc256000257"/>
      <w:r>
        <w:t>Обобщено описание на основните категории дейности на националната мрежа за селските райони в съответствие с целите на програмата</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8" w:name="_Toc256000258"/>
      <w:r>
        <w:t>Налични ресурси за създаването и привеждането в действие на националната мрежа за селските райони</w:t>
      </w:r>
      <w:bookmarkEnd w:id="2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9" w:name="_Toc256000259"/>
      <w:r>
        <w:t>Предварителна оценка на доказуемостта и на възможността за контрол, както и на риска от грешки</w:t>
      </w:r>
      <w:bookmarkEnd w:id="259"/>
    </w:p>
    <w:p>
      <w:pPr>
        <w:pStyle w:val="Heading2"/>
      </w:pPr>
      <w:bookmarkStart w:id="260" w:name="_Toc256000260"/>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6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6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1" w:name="_Toc256000261"/>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2" w:name="_Toc256000262"/>
      <w:r>
        <w:t>Преходни условия</w:t>
      </w:r>
      <w:bookmarkEnd w:id="262"/>
    </w:p>
    <w:p>
      <w:pPr>
        <w:pStyle w:val="Heading2"/>
      </w:pPr>
      <w:bookmarkStart w:id="263" w:name="_Toc256000263"/>
      <w:r>
        <w:t>Описание на преходните условия по мерки</w:t>
      </w:r>
      <w:bookmarkEnd w:id="2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4" w:name="_Toc256000264"/>
      <w:r>
        <w:t>Ориентировъчна таблица за пренос на средства</w:t>
      </w:r>
      <w:bookmarkEnd w:id="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328"/>
        <w:gridCol w:w="53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5" w:name="_Toc256000265"/>
      <w:r>
        <w:t>Тематични подпрограми</w:t>
      </w:r>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20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66" w:name="_Toc256000266"/>
      <w:r>
        <w:rPr>
          <w:b w:val="0"/>
          <w:i w:val="0"/>
        </w:rPr>
        <w:t>Документи</w:t>
      </w:r>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08-03-2022</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Ares(2022)5719245</w:t>
            </w:r>
          </w:p>
        </w:tc>
        <w:tc>
          <w:tcPr>
            <w:tcW w:w="2000" w:type="pct"/>
            <w:shd w:val="clear" w:color="auto" w:fill="FFFFFF"/>
            <w:noWrap w:val="0"/>
            <w:tcMar>
              <w:top w:w="60" w:type="dxa"/>
            </w:tcMar>
            <w:vAlign w:val="top"/>
          </w:tcPr>
          <w:p>
            <w:pPr>
              <w:jc w:val="left"/>
              <w:rPr>
                <w:b w:val="0"/>
                <w:i w:val="0"/>
                <w:sz w:val="16"/>
              </w:rPr>
            </w:pPr>
            <w:r>
              <w:rPr>
                <w:b w:val="0"/>
                <w:i w:val="0"/>
                <w:sz w:val="16"/>
              </w:rPr>
              <w:t>1692169016</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12-08-2022</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Ares(2022)5719245</w:t>
            </w:r>
          </w:p>
        </w:tc>
        <w:tc>
          <w:tcPr>
            <w:tcW w:w="2000" w:type="pct"/>
            <w:shd w:val="clear" w:color="auto" w:fill="FFFFFF"/>
            <w:noWrap w:val="0"/>
            <w:tcMar>
              <w:top w:w="60" w:type="dxa"/>
            </w:tcMar>
            <w:vAlign w:val="top"/>
          </w:tcPr>
          <w:p>
            <w:pPr>
              <w:jc w:val="left"/>
              <w:rPr>
                <w:b w:val="0"/>
                <w:i w:val="0"/>
                <w:sz w:val="16"/>
              </w:rPr>
            </w:pPr>
            <w:r>
              <w:rPr>
                <w:b w:val="0"/>
                <w:i w:val="0"/>
                <w:sz w:val="16"/>
              </w:rPr>
              <w:t>2321542255</w:t>
            </w:r>
          </w:p>
        </w:tc>
        <w:tc>
          <w:tcPr>
            <w:tcW w:w="2000" w:type="pct"/>
            <w:shd w:val="clear" w:color="auto" w:fill="FFFFFF"/>
            <w:noWrap w:val="0"/>
            <w:tcMar>
              <w:top w:w="60" w:type="dxa"/>
            </w:tcMar>
            <w:vAlign w:val="top"/>
          </w:tcPr>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 xml:space="preserve">Приложение към раздел 3_Обобщена справка за съответствието на ПРСР с постановеното в Становището на МОСВ за ЕО </w:t>
            </w:r>
          </w:p>
          <w:p>
            <w:pPr>
              <w:jc w:val="left"/>
              <w:rPr>
                <w:b w:val="0"/>
                <w:i w:val="0"/>
                <w:sz w:val="16"/>
              </w:rPr>
            </w:pPr>
            <w:r>
              <w:rPr>
                <w:b w:val="0"/>
                <w:i w:val="0"/>
                <w:sz w:val="16"/>
              </w:rPr>
              <w:t>Приложение към Раздел 3_Таблица с препоръките от предварителната оценка</w:t>
            </w:r>
          </w:p>
        </w:tc>
        <w:tc>
          <w:tcPr>
            <w:tcW w:w="2000" w:type="pct"/>
            <w:shd w:val="clear" w:color="auto" w:fill="FFFFFF"/>
            <w:noWrap w:val="0"/>
            <w:tcMar>
              <w:top w:w="60" w:type="dxa"/>
            </w:tcMar>
            <w:vAlign w:val="top"/>
          </w:tcPr>
          <w:p>
            <w:pPr>
              <w:jc w:val="left"/>
              <w:rPr>
                <w:b w:val="0"/>
                <w:i w:val="0"/>
                <w:sz w:val="16"/>
              </w:rPr>
            </w:pPr>
            <w:r>
              <w:rPr>
                <w:b w:val="0"/>
                <w:i w:val="0"/>
                <w:sz w:val="16"/>
              </w:rPr>
              <w:t>12-08-2022</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04-03-2021</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Ares(2022)5719245</w:t>
            </w:r>
          </w:p>
        </w:tc>
        <w:tc>
          <w:tcPr>
            <w:tcW w:w="2000" w:type="pct"/>
            <w:shd w:val="clear" w:color="auto" w:fill="FFFFFF"/>
            <w:noWrap w:val="0"/>
            <w:tcMar>
              <w:top w:w="60" w:type="dxa"/>
            </w:tcMar>
            <w:vAlign w:val="top"/>
          </w:tcPr>
          <w:p>
            <w:pPr>
              <w:jc w:val="left"/>
              <w:rPr>
                <w:b w:val="0"/>
                <w:i w:val="0"/>
                <w:sz w:val="16"/>
              </w:rPr>
            </w:pPr>
            <w:r>
              <w:rPr>
                <w:b w:val="0"/>
                <w:i w:val="0"/>
                <w:sz w:val="16"/>
              </w:rPr>
              <w:t>678493849</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  finansovi sredstva</w:t>
            </w:r>
          </w:p>
          <w:p>
            <w:pPr>
              <w:jc w:val="left"/>
              <w:rPr>
                <w:b w:val="0"/>
                <w:i w:val="0"/>
                <w:sz w:val="16"/>
              </w:rPr>
            </w:pPr>
            <w:r>
              <w:rPr>
                <w:b w:val="0"/>
                <w:i w:val="0"/>
                <w:sz w:val="16"/>
              </w:rPr>
              <w:t>Tematichna podprograma za malki stopanstva</w:t>
            </w:r>
          </w:p>
        </w:tc>
        <w:tc>
          <w:tcPr>
            <w:tcW w:w="2000" w:type="pct"/>
            <w:shd w:val="clear" w:color="auto" w:fill="FFFFFF"/>
            <w:noWrap w:val="0"/>
            <w:tcMar>
              <w:top w:w="60" w:type="dxa"/>
            </w:tcMar>
            <w:vAlign w:val="top"/>
          </w:tcPr>
          <w:p>
            <w:pPr>
              <w:jc w:val="left"/>
              <w:rPr>
                <w:b w:val="0"/>
                <w:i w:val="0"/>
                <w:sz w:val="16"/>
              </w:rPr>
            </w:pPr>
            <w:r>
              <w:rPr>
                <w:b w:val="0"/>
                <w:i w:val="0"/>
                <w:sz w:val="16"/>
              </w:rPr>
              <w:t>12-08-2022</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56E9426E-114D-4D88-9C49-C9F131910BDE}"/>
    <w:embedBold r:id="rId2" w:fontKey="{5FFBFA0D-199F-4107-BD8B-6C49D85E14FD}"/>
    <w:embedItalic r:id="rId3" w:fontKey="{D5708FAD-B77F-409E-8EB1-54F2251648B7}"/>
    <w:embedBoldItalic r:id="rId4" w:fontKey="{1351DEE7-CADC-4362-9DB1-A73BD863030B}"/>
  </w:font>
  <w:font w:name="Symbol">
    <w:panose1 w:val="05050102010706020507"/>
    <w:charset w:val="02"/>
    <w:family w:val="roman"/>
    <w:pitch w:val="variable"/>
    <w:sig w:usb0="00000000" w:usb1="10000000" w:usb2="00000000" w:usb3="00000000" w:csb0="80000000" w:csb1="00000000"/>
    <w:embedRegular r:id="rId5" w:fontKey="{E64A6FB9-B1B0-440F-8B9C-935262ED258F}"/>
  </w:font>
  <w:font w:name="Arial">
    <w:panose1 w:val="020B0604020202020204"/>
    <w:charset w:val="00"/>
    <w:family w:val="swiss"/>
    <w:pitch w:val="variable"/>
    <w:sig w:usb0="E0002AFF" w:usb1="C0007843" w:usb2="00000009" w:usb3="00000000" w:csb0="000001FF" w:csb1="00000000"/>
    <w:embedRegular r:id="rId6" w:fontKey="{9DE0E5D0-0B1E-4E64-839B-2773070ED608}"/>
    <w:embedBold r:id="rId7" w:fontKey="{97D7936E-1533-44E8-8004-48578DC97995}"/>
    <w:embedItalic r:id="rId8" w:fontKey="{94814F95-B487-42C7-8DB5-6907CEEAD4DC}"/>
  </w:font>
  <w:font w:name="Calibri">
    <w:panose1 w:val="020F0502020204030204"/>
    <w:charset w:val="00"/>
    <w:family w:val="swiss"/>
    <w:pitch w:val="variable"/>
    <w:sig w:usb0="E10002FF" w:usb1="4000ACFF" w:usb2="00000009" w:usb3="00000000" w:csb0="0000019F" w:csb1="00000000"/>
    <w:embedRegular r:id="rId9" w:fontKey="{E33709A3-ABE2-45AB-AF3E-EDA98DCA47B2}"/>
  </w:font>
  <w:font w:name="Tahoma">
    <w:panose1 w:val="020B0604030504040204"/>
    <w:charset w:val="00"/>
    <w:family w:val="swiss"/>
    <w:pitch w:val="variable"/>
    <w:sig w:usb0="E1002EFF" w:usb1="C000605B" w:usb2="00000029" w:usb3="00000000" w:csb0="000101FF" w:csb1="00000000"/>
    <w:embedRegular r:id="rId10" w:fontKey="{41F98DA0-29B6-413D-979F-A3C42F8287D1}"/>
  </w:font>
  <w:font w:name="Courier New">
    <w:panose1 w:val="02070309020205020404"/>
    <w:charset w:val="00"/>
    <w:family w:val="modern"/>
    <w:pitch w:val="fixed"/>
    <w:sig w:usb0="E0002AFF" w:usb1="C0007843" w:usb2="00000009" w:usb3="00000000" w:csb0="000001FF" w:csb1="00000000"/>
    <w:embedRegular r:id="rId11" w:fontKey="{079ED127-58C1-4046-8DE8-B296E34FA24D}"/>
  </w:font>
  <w:font w:name="Wingdings">
    <w:charset w:val="00"/>
    <w:family w:val="auto"/>
    <w:pitch w:val="default"/>
    <w:sig w:usb0="00000000" w:usb1="00000000" w:usb2="00000000" w:usb3="00000000" w:csb0="00000001" w:csb1="00000000"/>
    <w:embedRegular r:id="rId12" w:fontKey="{E2747D1B-E65E-4392-8068-FCA041842893}"/>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889</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multilevel"/>
    <w:tmpl w:val="722304D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multilevel"/>
    <w:tmpl w:val="7223053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multilevel"/>
    <w:tmpl w:val="7223053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nsid w:val="72230537"/>
    <w:multiLevelType w:val="hybridMultilevel"/>
    <w:tmpl w:val="722305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multilevel"/>
    <w:tmpl w:val="7223053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hybridMultilevel"/>
    <w:tmpl w:val="722305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multilevel"/>
    <w:tmpl w:val="7223054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nsid w:val="72230543"/>
    <w:multiLevelType w:val="hybridMultilevel"/>
    <w:tmpl w:val="7223054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multilevel"/>
    <w:tmpl w:val="7223054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2">
    <w:nsid w:val="72230545"/>
    <w:multiLevelType w:val="hybridMultilevel"/>
    <w:tmpl w:val="7223054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multilevel"/>
    <w:tmpl w:val="7223054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4">
    <w:nsid w:val="72230547"/>
    <w:multiLevelType w:val="hybridMultilevel"/>
    <w:tmpl w:val="7223054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5">
    <w:nsid w:val="72230548"/>
    <w:multiLevelType w:val="multilevel"/>
    <w:tmpl w:val="7223054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6">
    <w:nsid w:val="72230549"/>
    <w:multiLevelType w:val="hybridMultilevel"/>
    <w:tmpl w:val="7223054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multilevel"/>
    <w:tmpl w:val="7223054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0">
    <w:nsid w:val="7223054D"/>
    <w:multiLevelType w:val="multilevel"/>
    <w:tmpl w:val="722305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hybridMultilevel"/>
    <w:tmpl w:val="722305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3">
    <w:nsid w:val="72230550"/>
    <w:multiLevelType w:val="hybridMultilevel"/>
    <w:tmpl w:val="722305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4">
    <w:nsid w:val="72230551"/>
    <w:multiLevelType w:val="hybridMultilevel"/>
    <w:tmpl w:val="722305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multilevel"/>
    <w:tmpl w:val="7223055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7">
    <w:nsid w:val="72230554"/>
    <w:multiLevelType w:val="hybridMultilevel"/>
    <w:tmpl w:val="7223055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hybridMultilevel"/>
    <w:tmpl w:val="722305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multilevel"/>
    <w:tmpl w:val="7223055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8">
    <w:nsid w:val="7223055F"/>
    <w:multiLevelType w:val="hybridMultilevel"/>
    <w:tmpl w:val="722305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multilevel"/>
    <w:tmpl w:val="7223056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5">
    <w:nsid w:val="72230566"/>
    <w:multiLevelType w:val="hybridMultilevel"/>
    <w:tmpl w:val="7223056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hybridMultilevel"/>
    <w:tmpl w:val="722305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multilevel"/>
    <w:tmpl w:val="7223056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4">
    <w:nsid w:val="7223056F"/>
    <w:multiLevelType w:val="multilevel"/>
    <w:tmpl w:val="7223056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5">
    <w:nsid w:val="72230570"/>
    <w:multiLevelType w:val="hybridMultilevel"/>
    <w:tmpl w:val="722305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multilevel"/>
    <w:tmpl w:val="7223057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hybridMultilevel"/>
    <w:tmpl w:val="722305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multilevel"/>
    <w:tmpl w:val="7223057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multilevel"/>
    <w:tmpl w:val="7223057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3">
    <w:nsid w:val="72230578"/>
    <w:multiLevelType w:val="multilevel"/>
    <w:tmpl w:val="7223057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hybridMultilevel"/>
    <w:tmpl w:val="7223057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multilevel"/>
    <w:tmpl w:val="7223057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8">
    <w:nsid w:val="7223057D"/>
    <w:multiLevelType w:val="multilevel"/>
    <w:tmpl w:val="7223057D"/>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multilevel"/>
    <w:tmpl w:val="7223057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multilevel"/>
    <w:tmpl w:val="722305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hybridMultilevel"/>
    <w:tmpl w:val="722305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multilevel"/>
    <w:tmpl w:val="7223058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6">
    <w:nsid w:val="72230585"/>
    <w:multiLevelType w:val="hybridMultilevel"/>
    <w:tmpl w:val="7223058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multilevel"/>
    <w:tmpl w:val="7223058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9">
    <w:nsid w:val="72230588"/>
    <w:multiLevelType w:val="multilevel"/>
    <w:tmpl w:val="722305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nsid w:val="72230589"/>
    <w:multiLevelType w:val="hybridMultilevel"/>
    <w:tmpl w:val="722305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multilevel"/>
    <w:tmpl w:val="7223058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multilevel"/>
    <w:tmpl w:val="7223059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multilevel"/>
    <w:tmpl w:val="722305A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multilevel"/>
    <w:tmpl w:val="722305C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multilevel"/>
    <w:tmpl w:val="722305D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4">
    <w:nsid w:val="722305D3"/>
    <w:multiLevelType w:val="hybridMultilevel"/>
    <w:tmpl w:val="722305D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multilevel"/>
    <w:tmpl w:val="722305D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multilevel"/>
    <w:tmpl w:val="722305D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multilevel"/>
    <w:tmpl w:val="722305E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multilevel"/>
    <w:tmpl w:val="722305E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multilevel"/>
    <w:tmpl w:val="722305E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multilevel"/>
    <w:tmpl w:val="722305F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multilevel"/>
    <w:tmpl w:val="722305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1">
    <w:nsid w:val="722305F8"/>
    <w:multiLevelType w:val="multilevel"/>
    <w:tmpl w:val="722305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2">
    <w:nsid w:val="722305F9"/>
    <w:multiLevelType w:val="hybridMultilevel"/>
    <w:tmpl w:val="722305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3">
    <w:nsid w:val="722305FA"/>
    <w:multiLevelType w:val="multilevel"/>
    <w:tmpl w:val="722305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4">
    <w:nsid w:val="722305FB"/>
    <w:multiLevelType w:val="multilevel"/>
    <w:tmpl w:val="722305F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5">
    <w:nsid w:val="722305FC"/>
    <w:multiLevelType w:val="hybridMultilevel"/>
    <w:tmpl w:val="722305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multilevel"/>
    <w:tmpl w:val="722306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multilevel"/>
    <w:tmpl w:val="7223065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2">
    <w:nsid w:val="72230653"/>
    <w:multiLevelType w:val="multilevel"/>
    <w:tmpl w:val="7223065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hybridMultilevel"/>
    <w:tmpl w:val="722306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multilevel"/>
    <w:tmpl w:val="7223066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multilevel"/>
    <w:tmpl w:val="7223066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multilevel"/>
    <w:tmpl w:val="7223066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multilevel"/>
    <w:tmpl w:val="7223067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multilevel"/>
    <w:tmpl w:val="722306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7">
    <w:nsid w:val="72230680"/>
    <w:multiLevelType w:val="hybridMultilevel"/>
    <w:tmpl w:val="722306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multilevel"/>
    <w:tmpl w:val="7223068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hybridMultilevel"/>
    <w:tmpl w:val="722306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multilevel"/>
    <w:tmpl w:val="7223069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hybridMultilevel"/>
    <w:tmpl w:val="722306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6">
    <w:nsid w:val="72230693"/>
    <w:multiLevelType w:val="multilevel"/>
    <w:tmpl w:val="7223069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7">
    <w:nsid w:val="72230694"/>
    <w:multiLevelType w:val="multilevel"/>
    <w:tmpl w:val="722306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8">
    <w:nsid w:val="72230695"/>
    <w:multiLevelType w:val="hybridMultilevel"/>
    <w:tmpl w:val="722306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multilevel"/>
    <w:tmpl w:val="722306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multilevel"/>
    <w:tmpl w:val="722306A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multilevel"/>
    <w:tmpl w:val="722306C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1">
    <w:nsid w:val="722306CA"/>
    <w:multiLevelType w:val="multilevel"/>
    <w:tmpl w:val="722306CA"/>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2">
    <w:nsid w:val="722306CB"/>
    <w:multiLevelType w:val="multilevel"/>
    <w:tmpl w:val="722306CB"/>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3">
    <w:nsid w:val="722306CC"/>
    <w:multiLevelType w:val="multilevel"/>
    <w:tmpl w:val="722306CC"/>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multilevel"/>
    <w:tmpl w:val="722306D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multilevel"/>
    <w:tmpl w:val="722306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8">
    <w:nsid w:val="722306E5"/>
    <w:multiLevelType w:val="multilevel"/>
    <w:tmpl w:val="722306E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9">
    <w:nsid w:val="722306E6"/>
    <w:multiLevelType w:val="multilevel"/>
    <w:tmpl w:val="722306E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0">
    <w:nsid w:val="722306E7"/>
    <w:multiLevelType w:val="multilevel"/>
    <w:tmpl w:val="722306E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multilevel"/>
    <w:tmpl w:val="722306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multilevel"/>
    <w:tmpl w:val="722306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9">
    <w:nsid w:val="722306FA"/>
    <w:multiLevelType w:val="hybridMultilevel"/>
    <w:tmpl w:val="722306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3">
    <w:nsid w:val="722306FE"/>
    <w:multiLevelType w:val="hybridMultilevel"/>
    <w:tmpl w:val="722306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4">
    <w:nsid w:val="722306FF"/>
    <w:multiLevelType w:val="hybridMultilevel"/>
    <w:tmpl w:val="722306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5">
    <w:nsid w:val="72230700"/>
    <w:multiLevelType w:val="hybridMultilevel"/>
    <w:tmpl w:val="722307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6">
    <w:nsid w:val="72230701"/>
    <w:multiLevelType w:val="hybridMultilevel"/>
    <w:tmpl w:val="722307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889</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